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decembra noteikumos Nr. 807 "Emisijas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salāgot anotācijas tekstu 5.lpp. "4. papildināt MK noteikumu 16.punktu ar jaunu 16.5. apakšpunktu, lai nodrošinātu, ka konkursa otrās kārtas ietvaros uz finansējumu nevar pretendēt tie projekti, kas ir iesniegti konkursa </w:t>
            </w:r>
            <w:r w:rsidR="00000000" w:rsidRPr="00000000" w:rsidDel="00000000">
              <w:rPr>
                <w:b w:val="1"/>
                <w:rtl w:val="0"/>
              </w:rPr>
              <w:t xml:space="preserve">otrās </w:t>
            </w:r>
            <w:r w:rsidR="00000000" w:rsidRPr="00000000" w:rsidDel="00000000">
              <w:rPr>
                <w:rtl w:val="0"/>
              </w:rPr>
              <w:t xml:space="preserve">kārtas ietvaros un Vides investīciju fonds ir pieņēmis lēmumu par projekta iesnieguma apstiprināšanu." ar noteikumu projekta 16.5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4.lpp. ir teksts "Noteikumu projektā ietvertais nosacījums par plānotā energoefektivitātes rādītājs apkurei samazināšanu no 45 kWh/m² gadā uz 65 kWh/m² gadā </w:t>
            </w:r>
            <w:r w:rsidR="00000000" w:rsidRPr="00000000" w:rsidDel="00000000">
              <w:rPr>
                <w:b w:val="1"/>
                <w:rtl w:val="0"/>
              </w:rPr>
              <w:t xml:space="preserve">nesniegs</w:t>
            </w:r>
            <w:r w:rsidR="00000000" w:rsidRPr="00000000" w:rsidDel="00000000">
              <w:rPr>
                <w:rtl w:val="0"/>
              </w:rPr>
              <w:t xml:space="preserve"> valsts ieguldījumu ikgadējā 3 % renovētās platības mērķa aptvērumā, ko nepieciešams nodrošināt visām publiskām ēkām.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pārbaudīt, vai nav radusies kļūda tekstā. Ja teksts ir pareizs, tad lūgums anotācijā nenorādīt mērķus, kuru sasniegšanā netiks veikts ieguldījums, jo savādāk tas rada maldinošu priekštatu.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ierosinātie grozījumi 2. kārtā paredz sliktākus energoefektivitātes kritērijus nekā otrajā kārtā (piemēram, maksimālā robežvērtība enerģijas patēriņam apkurei uz ēkas aprēķina platību no 45 kWh/m2 tiek palielināta uz 65 kWh/m2), kas potenciāli varētu samazināt EKII atbalsta efektivitāti. Lūgums anotācijā detalizētāk skaidrot, kādēļ šāds lēmums ir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EKII mērķis ir veicināt globālo klimata pārmaiņu novēršanu, pielāgošanos klimata pārmaiņu radītajām sekām un sekmēt siltumnīcefekta gāzu (SEG) emisiju samazināšanu. Savukārt EKII finansējums būtu jāizlieto pēc iespējas efektīvāk šī mērķa sasniegšanai. Līdz ar to, ja Iekšlietu ministrijas sistēmas iestāžu un pašvaldību policijas institūciju īpašumā, valdījumā vai lietošanā esošajās ēkās nav iespējams īstenot energoefektivitātes pasākumus, kas būtu vismaz 1. kārtas efektivitātes apjomā, aicinām izvērtēt iespēju paplašināt atbalstāmo mērķa grupu vai finansējumu novirzīt citiem SEG emisiju samazinošiem pasākumiem, kuri būtu efektīvāki.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punktu “Cita informācija” ar norādi, ka noteikumu projekta grozījumiem nav ietekme uz valsts budžeta izdevumiem, jo netiek mainīts projektu konkursam pieejamais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05.11.2025. 12.33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05.11.2025. 12.33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Atzinumi_25-TA-1802.docx</dc:title>
</cp:coreProperties>
</file>

<file path=docProps/custom.xml><?xml version="1.0" encoding="utf-8"?>
<Properties xmlns="http://schemas.openxmlformats.org/officeDocument/2006/custom-properties" xmlns:vt="http://schemas.openxmlformats.org/officeDocument/2006/docPropsVTypes"/>
</file>