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atzinumos izteikto iebildumu par nepieciešamību papildināt anotāciju ar informāciju, kā KEM struktūrā tiks nodrošināta valsts kapitāla daļu turētāja funkciju izpilde. Atbilstoši iepriekšējos VK atzinumos izklāstītajam, valsts kapitāla daļu turētājam, lai nodrošinātu tā uzdevumu izpildi, ir nepieciešama attiecīga kapacitāte. Kapitālsabiedrības pārvaldība notiek nepārtraukti un KEM kapitāla daļu turētāja pienākumi būs jāuzsāk pildīt, kolīdz tiks pieņemts lēmums par kapitāla daļu turētāja maiņu. Ņemot vērā minēto, Valsts kancelejas ieskatā, jau pieņemot lēmumu par par kapitāla daļu turētāja maiņu, ir jābūt zināmam, kā uzdevumu izpilde tiks nodrošināta, kā arī jābūt skaidrībai par uzdevumu izpildes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iepriekšējā saskaņošanas posmā izteikto iebildumu un lūdz rīkojuma projekta anotācijas 3.sadaļā ietvert aprēķinus attiecīgo izmaiņu veikšanai TAP portālā reorganizāciju rezultātā - Valsts kancelejai 2024.gadā nepieciešams papildu finansējums 25863,75 euro (ar PVN), turpmākai funkcionalitātes uzturēšanai 2025. gadā un turpmākajos gados nepieciešams finansējums 5172,75 euro (ar PVN) apmērā ik gadu, kā arī norādīt budžeta programmu/apakšprogrammu, no kuras finansējums tiks pārdalīts Valsts kancelejai. Norādām, ka nevar paļauties uz to, ka papildus finansējuma nepieciešamība tiks atbalstīta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 ja tiek veikta plānotā reorganizācija, atbilstoši tai jāveic izmaiņas TAP portālā iesaistīto valsts pārvaldes institūciju darbības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turpina uzturēt iepriekš izteikto iebildumu par Anotācijas 4.pielikumu  Darba lapā "Amatu slodzes". Vēršam uzmanību, ka virzot atlīdzības reformu un tuvinoties konkurētspējīgai atlīdzībai ar privāto sektoru būtiski ir nodrošināt nodarbinātajam stabilus un prognozējamus ienākumus, kas sasniedzams primāri ceļot mēnešalgu un attiecīgi samazinot piemaksu apmēru. Vēršam uzmanību, ka saskaņā ar sniegtajiem datiem Atlīdzības uzskaites sistēmā (marts 2024) piemaksas pie mēnešalgas ir noteiktas 221 nodarbinātajam (jeb 69,7% no nodarbinātajiem) un vidējais piemaksas apmērs ir 22% no mēnešalgas, tai skaitā piemaksa par nozīmīgu ieguldījumu attiecīgās institūcijas stratēģisko mērķu sasniegšanā tikusi noteikta 188 nodarbinātajiem jeb 59,3% no kopējā nodarbināto skaita un tās vidējais  apmērs - 20% no mēnešalgas.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atlīdzības reformu tās galvenais uzsvars bija atteikties no piemaksām, tās attiecīgi iestrādājot mēnešalgā (palielinot mēnešalgu), kas vienkāršo un vienlaikus padara skaidru, saprotamu un nodarbinātajam prognozējamu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piemaksām izmantotais resurss ir finanšu avots, lai nodrošinātu nodarbinātajiem mēnešalgu, kura nav  zemāka kā attiecīgās mēnešalgu grupas skalas intervāla minimums, tādējādi izpildot Ministru kabineta sēdē lemto.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izņemt Valsts kanceleju, jo Valsts kanceleja nav iesaistīta Ministru kabineta rīkojuma "Par Vides aizsardzības un reģionālās attīstības ministrijas un Klimata un enerģētikas ministrijas reorganizāciju" izpildes nodrošināšanā. Vēršam uzmanību, ka projekts skar tikai Vides aizsardzības un reģionālās attīstības ministriju, Klimata un enerģētikas ministriju, Valsts vides dienestu un Vides pārraudzības valsts biroju.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27.05.2024.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27.05.2024.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