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50C40" w14:textId="77777777" w:rsidR="0015183D" w:rsidRDefault="0015183D" w:rsidP="0015183D">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Andrejs</w:t>
      </w:r>
      <w:proofErr w:type="spellEnd"/>
      <w:r>
        <w:rPr>
          <w:rFonts w:eastAsia="Times New Roman"/>
          <w:lang w:val="en-US"/>
        </w:rPr>
        <w:t xml:space="preserve"> Vanags &lt;andrejs.vanags@pateretajs.lv&gt; </w:t>
      </w:r>
      <w:r>
        <w:rPr>
          <w:rFonts w:eastAsia="Times New Roman"/>
          <w:lang w:val="en-US"/>
        </w:rPr>
        <w:br/>
      </w:r>
      <w:r>
        <w:rPr>
          <w:rFonts w:eastAsia="Times New Roman"/>
          <w:b/>
          <w:bCs/>
          <w:lang w:val="en-US"/>
        </w:rPr>
        <w:t>Sent:</w:t>
      </w:r>
      <w:r>
        <w:rPr>
          <w:rFonts w:eastAsia="Times New Roman"/>
          <w:lang w:val="en-US"/>
        </w:rPr>
        <w:t xml:space="preserve"> Wednesday, March 9, 2022 6:44 PM</w:t>
      </w:r>
      <w:r>
        <w:rPr>
          <w:rFonts w:eastAsia="Times New Roman"/>
          <w:lang w:val="en-US"/>
        </w:rPr>
        <w:br/>
      </w:r>
      <w:r>
        <w:rPr>
          <w:rFonts w:eastAsia="Times New Roman"/>
          <w:b/>
          <w:bCs/>
          <w:lang w:val="en-US"/>
        </w:rPr>
        <w:t>To:</w:t>
      </w:r>
      <w:r>
        <w:rPr>
          <w:rFonts w:eastAsia="Times New Roman"/>
          <w:lang w:val="en-US"/>
        </w:rPr>
        <w:t xml:space="preserve"> Santa Buša &lt;Santa.Busa@em.gov.lv&gt;</w:t>
      </w:r>
      <w:r>
        <w:rPr>
          <w:rFonts w:eastAsia="Times New Roman"/>
          <w:lang w:val="en-US"/>
        </w:rPr>
        <w:br/>
      </w:r>
      <w:r>
        <w:rPr>
          <w:rFonts w:eastAsia="Times New Roman"/>
          <w:b/>
          <w:bCs/>
          <w:lang w:val="en-US"/>
        </w:rPr>
        <w:t>Subject:</w:t>
      </w:r>
      <w:r>
        <w:rPr>
          <w:rFonts w:eastAsia="Times New Roman"/>
          <w:lang w:val="en-US"/>
        </w:rPr>
        <w:t xml:space="preserve"> Re: par </w:t>
      </w:r>
      <w:proofErr w:type="spellStart"/>
      <w:r>
        <w:rPr>
          <w:rFonts w:eastAsia="Times New Roman"/>
          <w:lang w:val="en-US"/>
        </w:rPr>
        <w:t>grozījumiem</w:t>
      </w:r>
      <w:proofErr w:type="spellEnd"/>
      <w:r>
        <w:rPr>
          <w:rFonts w:eastAsia="Times New Roman"/>
          <w:lang w:val="en-US"/>
        </w:rPr>
        <w:t xml:space="preserve"> NKAL</w:t>
      </w:r>
    </w:p>
    <w:p w14:paraId="3B43E13F" w14:textId="77777777" w:rsidR="0015183D" w:rsidRDefault="0015183D" w:rsidP="0015183D"/>
    <w:p w14:paraId="3624FA3D" w14:textId="77777777" w:rsidR="0015183D" w:rsidRDefault="0015183D" w:rsidP="0015183D">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43A0D385" w14:textId="77777777" w:rsidR="0015183D" w:rsidRDefault="0015183D" w:rsidP="0015183D">
      <w:pPr>
        <w:rPr>
          <w:rFonts w:ascii="Verdana" w:eastAsia="Times New Roman" w:hAnsi="Verdana"/>
        </w:rPr>
      </w:pPr>
      <w:r>
        <w:rPr>
          <w:rFonts w:ascii="Verdana" w:eastAsia="Times New Roman" w:hAnsi="Verdana"/>
        </w:rPr>
        <w:t>Labdien!</w:t>
      </w:r>
      <w:r>
        <w:rPr>
          <w:rFonts w:ascii="Verdana" w:eastAsia="Times New Roman" w:hAnsi="Verdana"/>
        </w:rPr>
        <w:br/>
      </w:r>
      <w:r>
        <w:rPr>
          <w:rFonts w:ascii="Verdana" w:eastAsia="Times New Roman" w:hAnsi="Verdana"/>
        </w:rPr>
        <w:br/>
        <w:t xml:space="preserve">Pateicamies par iespēju izteikt mūsu viedokli par likumprojektu. Lai arī kopumā pozitīvi vērtējam paveikto darbu, tomēr </w:t>
      </w:r>
      <w:r>
        <w:rPr>
          <w:rFonts w:ascii="Verdana" w:eastAsia="Times New Roman" w:hAnsi="Verdana"/>
          <w:b/>
          <w:bCs/>
        </w:rPr>
        <w:t xml:space="preserve">kategoriski iebilstam piedāvātajai Negodīgas </w:t>
      </w:r>
      <w:proofErr w:type="spellStart"/>
      <w:r>
        <w:rPr>
          <w:rFonts w:ascii="Verdana" w:eastAsia="Times New Roman" w:hAnsi="Verdana"/>
          <w:b/>
          <w:bCs/>
        </w:rPr>
        <w:t>komercprakses</w:t>
      </w:r>
      <w:proofErr w:type="spellEnd"/>
      <w:r>
        <w:rPr>
          <w:rFonts w:ascii="Verdana" w:eastAsia="Times New Roman" w:hAnsi="Verdana"/>
          <w:b/>
          <w:bCs/>
        </w:rPr>
        <w:t xml:space="preserve"> likuma 15.2 pantā 1.1 un 1.3 daļas redakcijai, kura ierobežo uzraudzības iestādes tiesības piemērot naudas sodu par negodīgu </w:t>
      </w:r>
      <w:proofErr w:type="spellStart"/>
      <w:r>
        <w:rPr>
          <w:rFonts w:ascii="Verdana" w:eastAsia="Times New Roman" w:hAnsi="Verdana"/>
          <w:b/>
          <w:bCs/>
        </w:rPr>
        <w:t>komercpraksi</w:t>
      </w:r>
      <w:proofErr w:type="spellEnd"/>
      <w:r>
        <w:rPr>
          <w:rFonts w:ascii="Verdana" w:eastAsia="Times New Roman" w:hAnsi="Verdana"/>
          <w:b/>
          <w:bCs/>
        </w:rPr>
        <w:t xml:space="preserve">, kas tiek īstenota tikai Latvijas Republikas teritorijā ar 200 000 </w:t>
      </w:r>
      <w:proofErr w:type="spellStart"/>
      <w:r>
        <w:rPr>
          <w:rFonts w:ascii="Verdana" w:eastAsia="Times New Roman" w:hAnsi="Verdana"/>
          <w:b/>
          <w:bCs/>
        </w:rPr>
        <w:t>euro</w:t>
      </w:r>
      <w:proofErr w:type="spellEnd"/>
      <w:r>
        <w:rPr>
          <w:rFonts w:ascii="Verdana" w:eastAsia="Times New Roman" w:hAnsi="Verdana"/>
        </w:rPr>
        <w:t>. Pamatojums mūsu pozīcijai ir norādīts zemāk.</w:t>
      </w:r>
      <w:r>
        <w:rPr>
          <w:rFonts w:ascii="Verdana" w:eastAsia="Times New Roman" w:hAnsi="Verdana"/>
        </w:rPr>
        <w:br/>
      </w:r>
      <w:r>
        <w:rPr>
          <w:rFonts w:ascii="Verdana" w:eastAsia="Times New Roman" w:hAnsi="Verdana"/>
        </w:rPr>
        <w:br/>
        <w:t xml:space="preserve">Jāsāk ar to, ka neizpratni rada likumprojekta autoru atšķirīgā pieeja komersantu un patērētāju interesēm. No vienas puses, likumprojekta anotācijā </w:t>
      </w:r>
      <w:r>
        <w:rPr>
          <w:rFonts w:ascii="Verdana" w:eastAsia="Times New Roman" w:hAnsi="Verdana"/>
          <w:b/>
          <w:bCs/>
        </w:rPr>
        <w:t>tiek deklarēts mērķis - vienveidot sodu sistēmu</w:t>
      </w:r>
      <w:r>
        <w:rPr>
          <w:rFonts w:ascii="Verdana" w:eastAsia="Times New Roman" w:hAnsi="Verdana"/>
        </w:rPr>
        <w:t xml:space="preserve">, lai neradītu atšķirīgu naudas sodu piemērošanas sistēmu negodīgas </w:t>
      </w:r>
      <w:proofErr w:type="spellStart"/>
      <w:r>
        <w:rPr>
          <w:rFonts w:ascii="Verdana" w:eastAsia="Times New Roman" w:hAnsi="Verdana"/>
        </w:rPr>
        <w:t>komercprakses</w:t>
      </w:r>
      <w:proofErr w:type="spellEnd"/>
      <w:r>
        <w:rPr>
          <w:rFonts w:ascii="Verdana" w:eastAsia="Times New Roman" w:hAnsi="Verdana"/>
        </w:rPr>
        <w:t xml:space="preserve"> pārkāpumiem nacionālā un pārrobežu gadījumā. Pamatojoties uz šo ideju, anotācijā norādīts, ka nav ekonomiski pamatota situācija, kad sodot par vienādu pārkāpumu, par Latvijā veiktu darbību piemēros līdz 10 procentiem no apgrozījuma, bet, piemēram, Lietuvā un Igaunijā - līdz 4 procentiem no apgrozījuma.</w:t>
      </w:r>
      <w:r>
        <w:rPr>
          <w:rFonts w:ascii="Verdana" w:eastAsia="Times New Roman" w:hAnsi="Verdana"/>
        </w:rPr>
        <w:br/>
      </w:r>
      <w:r>
        <w:rPr>
          <w:rFonts w:ascii="Verdana" w:eastAsia="Times New Roman" w:hAnsi="Verdana"/>
        </w:rPr>
        <w:br/>
        <w:t xml:space="preserve">Tomēr </w:t>
      </w:r>
      <w:r>
        <w:rPr>
          <w:rFonts w:ascii="Verdana" w:eastAsia="Times New Roman" w:hAnsi="Verdana"/>
          <w:b/>
          <w:bCs/>
        </w:rPr>
        <w:t>pilnīgi pretēji augstāk deklarētajam mērķim</w:t>
      </w:r>
      <w:r>
        <w:rPr>
          <w:rFonts w:ascii="Verdana" w:eastAsia="Times New Roman" w:hAnsi="Verdana"/>
        </w:rPr>
        <w:t xml:space="preserve"> likumprojekts paredz saglabāt maksimālo soda naudas apmēru 200 000 EUR apmērā attiecībā uz darbībām, kuras ir veiktas tikai Latvijā un kurš nebūtu attiecināms uz darbībām kuras ir veiktas arī citās valstīs, piemēram, Lietuvā un Igaunijā, pat ja pārkāpums ir vienāds. Citiem vārdiem, </w:t>
      </w:r>
      <w:r>
        <w:rPr>
          <w:rFonts w:ascii="Verdana" w:eastAsia="Times New Roman" w:hAnsi="Verdana"/>
          <w:b/>
          <w:bCs/>
        </w:rPr>
        <w:t>piedāvātā risinājumā pamatā ir dubultstandarts</w:t>
      </w:r>
      <w:r>
        <w:rPr>
          <w:rFonts w:ascii="Verdana" w:eastAsia="Times New Roman" w:hAnsi="Verdana"/>
        </w:rPr>
        <w:t>:</w:t>
      </w:r>
      <w:r>
        <w:rPr>
          <w:rFonts w:ascii="Verdana" w:eastAsia="Times New Roman" w:hAnsi="Verdana"/>
        </w:rPr>
        <w:br/>
        <w:t>- situācijā, kad tiek pamatota naudas soda no gada apgrozījuma samazināšana no 10% līdz 4% procentiem tiek deklarēts, ka nav pieļaujama atšķirīgas sodu sistēmas veidošana nacionāliem un pārrobežu pārkāpumiem, bet</w:t>
      </w:r>
      <w:r>
        <w:rPr>
          <w:rFonts w:ascii="Verdana" w:eastAsia="Times New Roman" w:hAnsi="Verdana"/>
        </w:rPr>
        <w:br/>
        <w:t>- situācijā, kad tiek pamatota nepieciešamība paturēt maksimālo soda naudas ierobežojumu 200 000 EUR apmērā, izrādās, ka atšķirīga sodu sistēmas veidošana nacionāliem un pārrobežu pārkāpumiem ir pieļaujama gan.</w:t>
      </w:r>
      <w:r>
        <w:rPr>
          <w:rFonts w:ascii="Verdana" w:eastAsia="Times New Roman" w:hAnsi="Verdana"/>
        </w:rPr>
        <w:br/>
      </w:r>
      <w:r>
        <w:rPr>
          <w:rFonts w:ascii="Verdana" w:eastAsia="Times New Roman" w:hAnsi="Verdana"/>
        </w:rPr>
        <w:br/>
        <w:t xml:space="preserve">Lieki teikt, ka šādi </w:t>
      </w:r>
      <w:r>
        <w:rPr>
          <w:rFonts w:ascii="Verdana" w:eastAsia="Times New Roman" w:hAnsi="Verdana"/>
          <w:b/>
          <w:bCs/>
        </w:rPr>
        <w:t>tiek diskriminēti Latvijas patērētāji</w:t>
      </w:r>
      <w:r>
        <w:rPr>
          <w:rFonts w:ascii="Verdana" w:eastAsia="Times New Roman" w:hAnsi="Verdana"/>
        </w:rPr>
        <w:t>, kuru intereses tiek novērtētas zemāk gan par Latvijas uzņēmēju interesēm (minētais dubultstandarts tiek izmantots uzņēmēju labā), gan par citu valstu patērētāju interesēm. PIAA ieskatā tas ir nepieņemami un neatbilst samērīguma principam.</w:t>
      </w:r>
      <w:r>
        <w:rPr>
          <w:rFonts w:ascii="Verdana" w:eastAsia="Times New Roman" w:hAnsi="Verdana"/>
        </w:rPr>
        <w:br/>
      </w:r>
      <w:r>
        <w:rPr>
          <w:rFonts w:ascii="Verdana" w:eastAsia="Times New Roman" w:hAnsi="Verdana"/>
        </w:rPr>
        <w:br/>
        <w:t xml:space="preserve">Turklāt, šādi </w:t>
      </w:r>
      <w:r>
        <w:rPr>
          <w:rFonts w:ascii="Verdana" w:eastAsia="Times New Roman" w:hAnsi="Verdana"/>
          <w:b/>
          <w:bCs/>
        </w:rPr>
        <w:t xml:space="preserve">netiek sasniegti arī pašā likumprojekta anotācijā deklarētie mērķi </w:t>
      </w:r>
      <w:r>
        <w:rPr>
          <w:rFonts w:ascii="Verdana" w:eastAsia="Times New Roman" w:hAnsi="Verdana"/>
        </w:rPr>
        <w:t xml:space="preserve">- sodu sistēmas vienveidošana un uzraudzības iestāžu </w:t>
      </w:r>
      <w:r>
        <w:rPr>
          <w:rFonts w:ascii="Verdana" w:eastAsia="Times New Roman" w:hAnsi="Verdana"/>
        </w:rPr>
        <w:lastRenderedPageBreak/>
        <w:t xml:space="preserve">papildu administratīvā sloga novēršana, veidojot duālu </w:t>
      </w:r>
      <w:proofErr w:type="spellStart"/>
      <w:r>
        <w:rPr>
          <w:rFonts w:ascii="Verdana" w:eastAsia="Times New Roman" w:hAnsi="Verdana"/>
        </w:rPr>
        <w:t>izvērtējumu</w:t>
      </w:r>
      <w:proofErr w:type="spellEnd"/>
      <w:r>
        <w:rPr>
          <w:rFonts w:ascii="Verdana" w:eastAsia="Times New Roman" w:hAnsi="Verdana"/>
        </w:rPr>
        <w:t xml:space="preserve"> par to, kāds sods kopumā būtu piemērojams, ja par nacionālo un pārrobežu pārkāpumiem maksimālais sods, no kura vadās veicot </w:t>
      </w:r>
      <w:proofErr w:type="spellStart"/>
      <w:r>
        <w:rPr>
          <w:rFonts w:ascii="Verdana" w:eastAsia="Times New Roman" w:hAnsi="Verdana"/>
        </w:rPr>
        <w:t>izvērtējumu</w:t>
      </w:r>
      <w:proofErr w:type="spellEnd"/>
      <w:r>
        <w:rPr>
          <w:rFonts w:ascii="Verdana" w:eastAsia="Times New Roman" w:hAnsi="Verdana"/>
        </w:rPr>
        <w:t>, ir atšķirīgs.</w:t>
      </w:r>
      <w:r>
        <w:rPr>
          <w:rFonts w:ascii="Verdana" w:eastAsia="Times New Roman" w:hAnsi="Verdana"/>
        </w:rPr>
        <w:br/>
      </w:r>
      <w:r>
        <w:rPr>
          <w:rFonts w:ascii="Verdana" w:eastAsia="Times New Roman" w:hAnsi="Verdana"/>
        </w:rPr>
        <w:br/>
        <w:t xml:space="preserve">Šai sakarā PIAA ir arī šaubas saistībā ar šāda regulējuma piemērošanu praksē, proti, </w:t>
      </w:r>
      <w:r>
        <w:rPr>
          <w:rFonts w:ascii="Verdana" w:eastAsia="Times New Roman" w:hAnsi="Verdana"/>
          <w:b/>
          <w:bCs/>
        </w:rPr>
        <w:t xml:space="preserve">kādā veidā uzraudzības iestādes spēs pārliecināties par to vai konkrētā negodīgā </w:t>
      </w:r>
      <w:proofErr w:type="spellStart"/>
      <w:r>
        <w:rPr>
          <w:rFonts w:ascii="Verdana" w:eastAsia="Times New Roman" w:hAnsi="Verdana"/>
          <w:b/>
          <w:bCs/>
        </w:rPr>
        <w:t>komercprakse</w:t>
      </w:r>
      <w:proofErr w:type="spellEnd"/>
      <w:r>
        <w:rPr>
          <w:rFonts w:ascii="Verdana" w:eastAsia="Times New Roman" w:hAnsi="Verdana"/>
          <w:b/>
          <w:bCs/>
        </w:rPr>
        <w:t xml:space="preserve"> tiek īstenota tikai Latvijas Republikā</w:t>
      </w:r>
      <w:r>
        <w:rPr>
          <w:rFonts w:ascii="Verdana" w:eastAsia="Times New Roman" w:hAnsi="Verdana"/>
        </w:rPr>
        <w:t>.</w:t>
      </w:r>
      <w:r>
        <w:rPr>
          <w:rFonts w:ascii="Verdana" w:eastAsia="Times New Roman" w:hAnsi="Verdana"/>
        </w:rPr>
        <w:br/>
      </w:r>
      <w:r>
        <w:rPr>
          <w:rFonts w:ascii="Verdana" w:eastAsia="Times New Roman" w:hAnsi="Verdana"/>
        </w:rPr>
        <w:br/>
        <w:t xml:space="preserve">Tāpat anotācija ir norādīts, ka esošais naudas soda slieksnis nav pārskatīts kopš 2015.gada 1.jūlija un satur atsauci uz Patērētāju tiesību aizsardzības centra (PTAC) praksē secināto, ka </w:t>
      </w:r>
      <w:r>
        <w:rPr>
          <w:rFonts w:ascii="Verdana" w:eastAsia="Times New Roman" w:hAnsi="Verdana"/>
          <w:b/>
          <w:bCs/>
        </w:rPr>
        <w:t xml:space="preserve">maksimālā soda nauda, kas ir ierobežota līdz 100 000 </w:t>
      </w:r>
      <w:proofErr w:type="spellStart"/>
      <w:r>
        <w:rPr>
          <w:rFonts w:ascii="Verdana" w:eastAsia="Times New Roman" w:hAnsi="Verdana"/>
          <w:b/>
          <w:bCs/>
        </w:rPr>
        <w:t>euro</w:t>
      </w:r>
      <w:proofErr w:type="spellEnd"/>
      <w:r>
        <w:rPr>
          <w:rFonts w:ascii="Verdana" w:eastAsia="Times New Roman" w:hAnsi="Verdana"/>
          <w:b/>
          <w:bCs/>
        </w:rPr>
        <w:t xml:space="preserve">, ir piemērota un bijusi efektīva viegliem vai vidēji smagiem </w:t>
      </w:r>
      <w:proofErr w:type="spellStart"/>
      <w:r>
        <w:rPr>
          <w:rFonts w:ascii="Verdana" w:eastAsia="Times New Roman" w:hAnsi="Verdana"/>
          <w:b/>
          <w:bCs/>
        </w:rPr>
        <w:t>komercprakses</w:t>
      </w:r>
      <w:proofErr w:type="spellEnd"/>
      <w:r>
        <w:rPr>
          <w:rFonts w:ascii="Verdana" w:eastAsia="Times New Roman" w:hAnsi="Verdana"/>
          <w:b/>
          <w:bCs/>
        </w:rPr>
        <w:t xml:space="preserve"> pārkāpumiem un nav efektīva gadījumos, kad izmeklēšanas rezultātā iegūtā informācija liecina, ka pārkāpuma izdarīšanas rezultātā gūtais labums vairākkārt pārsniedza iespējamo piemērojamo soda apmēru</w:t>
      </w:r>
      <w:r>
        <w:rPr>
          <w:rFonts w:ascii="Verdana" w:eastAsia="Times New Roman" w:hAnsi="Verdana"/>
        </w:rPr>
        <w:t xml:space="preserve">. Piemēram, vienā no lietām PTAC piemēroja soda naudu 90 000 EUR apmērā, lai arī patērētājiem tika nodarīti zaudējumi vairāk nekā 2 000 000 EUR apmērā. Citi anotācijā minētie piemēri ir ne mazāk spilgti. </w:t>
      </w:r>
      <w:r>
        <w:rPr>
          <w:rFonts w:ascii="Verdana" w:eastAsia="Times New Roman" w:hAnsi="Verdana"/>
        </w:rPr>
        <w:br/>
      </w:r>
      <w:r>
        <w:rPr>
          <w:rFonts w:ascii="Verdana" w:eastAsia="Times New Roman" w:hAnsi="Verdana"/>
        </w:rPr>
        <w:br/>
        <w:t xml:space="preserve">Acīmredzams, ka maksimālā soda naudas sliekšņa palielināšana no 100 000 EUR līdz 200 000 EUR anotācijā minētajos gadījumos nenodrošinātu soda samērīgumu un atturēšanu no turpmākiem pārkāpumiem, jo pārkāpuma rezultātā gūtais labums joprojām daudzkārt pārsniegtu iespējamā soda apmēru. Tas faktiski nozīmē, ka </w:t>
      </w:r>
      <w:r>
        <w:rPr>
          <w:rFonts w:ascii="Verdana" w:eastAsia="Times New Roman" w:hAnsi="Verdana"/>
          <w:b/>
          <w:bCs/>
        </w:rPr>
        <w:t>piedāvātajā redakcijā likums turpinās saudzēt pārkāpējus, kuri nodara patērētājiem vislielāko kaitējumu</w:t>
      </w:r>
      <w:r>
        <w:rPr>
          <w:rFonts w:ascii="Verdana" w:eastAsia="Times New Roman" w:hAnsi="Verdana"/>
        </w:rPr>
        <w:t xml:space="preserve">. PIAA ieskatā šāda sodu politika ir absurda, it īpaši, ņemot vērā to, ka pēc PIAA rīcībā esošās informācijas, nevienā no anotācijā minētajiem gadījumiem kaut cik nozīmīga zaudējumu atlīdzināšana patērētājiem nenotika. </w:t>
      </w:r>
      <w:r>
        <w:rPr>
          <w:rFonts w:ascii="Verdana" w:eastAsia="Times New Roman" w:hAnsi="Verdana"/>
        </w:rPr>
        <w:br/>
      </w:r>
      <w:r>
        <w:rPr>
          <w:rFonts w:ascii="Verdana" w:eastAsia="Times New Roman" w:hAnsi="Verdana"/>
        </w:rPr>
        <w:br/>
        <w:t xml:space="preserve">Minēto iemeslu dēļ, </w:t>
      </w:r>
      <w:r>
        <w:rPr>
          <w:rFonts w:ascii="Verdana" w:eastAsia="Times New Roman" w:hAnsi="Verdana"/>
          <w:b/>
          <w:bCs/>
        </w:rPr>
        <w:t>uzskatām ka maksimālais soda naudas ierobežojums 200 000 EUR apmērā nacionāliem pārkāpumiem ir svītrojams</w:t>
      </w:r>
      <w:r>
        <w:rPr>
          <w:rFonts w:ascii="Verdana" w:eastAsia="Times New Roman" w:hAnsi="Verdana"/>
        </w:rPr>
        <w:t>.</w:t>
      </w:r>
      <w:r>
        <w:rPr>
          <w:rFonts w:ascii="Verdana" w:eastAsia="Times New Roman" w:hAnsi="Verdana"/>
        </w:rPr>
        <w:br/>
      </w:r>
      <w:r>
        <w:rPr>
          <w:rFonts w:ascii="Verdana" w:eastAsia="Times New Roman" w:hAnsi="Verdana"/>
        </w:rPr>
        <w:br/>
        <w:t xml:space="preserve">PIAA ir pret soda naudām, kuras iznīcina uzņēmumus, tādēļ ar izpratni attiecamies pret uzņēmēju bažām par lielu soda naudu piemērošanas praksi. Tomēr, mūsu ieskatā šādas bažas ir pilnīgi nepamatotas. Atbilstoši PTAC sniegtajai informācijai praksē vairāk nekā 90% gadījumu iestādei izdodas panākt pārkāpumu labprātīgu novēršanu. Turklāt, PIAA, iepazīstoties ar PTAC lēmumiem par soda naudu piemērošanu ir secinājusi, ka PTAC lēmumos piemērojamas soda naudas apmērs vienmēr tiek detalizēti argumentēts. Tāpat jāatceras, ka pastāv arī neatkarīgs soda naudas piemērošanas kontroles mehānisms, proti, PTAC lēmums par soda naudas piemērošanu ir pārsūdzams tiesā trīs instancēs t.i. uzņēmējam, kurš uzskata soda apmēru par pārmērīgu lielu ir iespēja panākt tā vairākkārtēju izvērtēšanu. Šai ziņā PIAA rīcībā esošā informācija liecina, ka PTAC lēmumu pārsūdzēšanas rezultātā teju vienmēr tiesas atzīst PTAC noteiktās soda naudas apmēru pa pamatotu. </w:t>
      </w:r>
      <w:r>
        <w:rPr>
          <w:rFonts w:ascii="Verdana" w:eastAsia="Times New Roman" w:hAnsi="Verdana"/>
        </w:rPr>
        <w:br/>
      </w:r>
      <w:r>
        <w:rPr>
          <w:rFonts w:ascii="Verdana" w:eastAsia="Times New Roman" w:hAnsi="Verdana"/>
        </w:rPr>
        <w:br/>
      </w:r>
      <w:r>
        <w:rPr>
          <w:rFonts w:ascii="Verdana" w:eastAsia="Times New Roman" w:hAnsi="Verdana"/>
        </w:rPr>
        <w:lastRenderedPageBreak/>
        <w:t xml:space="preserve">Noslēgumā, vēlamies norādīt sekojošo. Nav noslēpums, ka tirdzniecības un pakalpojumu sniegšanas </w:t>
      </w:r>
      <w:proofErr w:type="spellStart"/>
      <w:r>
        <w:rPr>
          <w:rFonts w:ascii="Verdana" w:eastAsia="Times New Roman" w:hAnsi="Verdana"/>
        </w:rPr>
        <w:t>digitalizācija</w:t>
      </w:r>
      <w:proofErr w:type="spellEnd"/>
      <w:r>
        <w:rPr>
          <w:rFonts w:ascii="Verdana" w:eastAsia="Times New Roman" w:hAnsi="Verdana"/>
        </w:rPr>
        <w:t xml:space="preserve"> ievērojami atviegloja patērētājiem iepirkšanos. Diemžēl, tā arī radījusi lielāku masveida kaitējuma situāciju rašanas risku - platformās pārdotās nedrošas rotaļlietas, interneta veikali, kuri maldina patērētājus par preču piegādes termiņiem - ir tikai daži piemēri tam. Šajos apstākļos patērētāju tiesību aizsardzības sistēmai jābūt gatavai šādiem izaicinājumiem, bet </w:t>
      </w:r>
      <w:r>
        <w:rPr>
          <w:rFonts w:ascii="Verdana" w:eastAsia="Times New Roman" w:hAnsi="Verdana"/>
          <w:b/>
          <w:bCs/>
        </w:rPr>
        <w:t xml:space="preserve">Latvijā šobrīd nav neviena mehānisma ar kura palīdzību varētu efektīvi novērst pārkāpumus, kuru rezultātā Latvijas patērētājiem nodarītie zaudējumi ir </w:t>
      </w:r>
      <w:proofErr w:type="spellStart"/>
      <w:r>
        <w:rPr>
          <w:rFonts w:ascii="Verdana" w:eastAsia="Times New Roman" w:hAnsi="Verdana"/>
          <w:b/>
          <w:bCs/>
        </w:rPr>
        <w:t>mērami</w:t>
      </w:r>
      <w:proofErr w:type="spellEnd"/>
      <w:r>
        <w:rPr>
          <w:rFonts w:ascii="Verdana" w:eastAsia="Times New Roman" w:hAnsi="Verdana"/>
          <w:b/>
          <w:bCs/>
        </w:rPr>
        <w:t xml:space="preserve"> miljonos eiro</w:t>
      </w:r>
      <w:r>
        <w:rPr>
          <w:rFonts w:ascii="Verdana" w:eastAsia="Times New Roman" w:hAnsi="Verdana"/>
        </w:rPr>
        <w:t>. Mūsuprāt, tā vairs nevar turpināties un neadekvāti zemām soda naudām Latvijā ir jāpieliek punkts.</w:t>
      </w:r>
    </w:p>
    <w:p w14:paraId="0BDF7B99" w14:textId="77777777" w:rsidR="0015183D" w:rsidRDefault="0015183D" w:rsidP="0015183D">
      <w:pPr>
        <w:rPr>
          <w:rFonts w:ascii="Verdana" w:eastAsia="Times New Roman" w:hAnsi="Verdana"/>
        </w:rPr>
      </w:pPr>
    </w:p>
    <w:p w14:paraId="17954DBD" w14:textId="77777777" w:rsidR="0015183D" w:rsidRDefault="0015183D" w:rsidP="0015183D">
      <w:pPr>
        <w:rPr>
          <w:rFonts w:ascii="Verdana" w:eastAsia="Times New Roman" w:hAnsi="Verdana"/>
        </w:rPr>
      </w:pPr>
      <w:r>
        <w:rPr>
          <w:rFonts w:ascii="Verdana" w:eastAsia="Times New Roman" w:hAnsi="Verdana"/>
        </w:rPr>
        <w:t>Ar cieņu,</w:t>
      </w:r>
    </w:p>
    <w:p w14:paraId="55D40521" w14:textId="77777777" w:rsidR="0015183D" w:rsidRDefault="0015183D" w:rsidP="0015183D">
      <w:pPr>
        <w:rPr>
          <w:rFonts w:ascii="Verdana" w:eastAsia="Times New Roman" w:hAnsi="Verdana"/>
        </w:rPr>
      </w:pPr>
    </w:p>
    <w:p w14:paraId="41D5A90A" w14:textId="77777777" w:rsidR="0015183D" w:rsidRDefault="0015183D" w:rsidP="0015183D">
      <w:pPr>
        <w:rPr>
          <w:rFonts w:ascii="Verdana" w:eastAsia="Times New Roman" w:hAnsi="Verdana"/>
        </w:rPr>
      </w:pPr>
      <w:r>
        <w:rPr>
          <w:rFonts w:ascii="Verdana" w:eastAsia="Times New Roman" w:hAnsi="Verdana"/>
        </w:rPr>
        <w:t>Andrejs Vanags</w:t>
      </w:r>
    </w:p>
    <w:p w14:paraId="26462133" w14:textId="77777777" w:rsidR="00AD73ED" w:rsidRDefault="00AD73ED"/>
    <w:sectPr w:rsidR="00AD73E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3D"/>
    <w:rsid w:val="0015183D"/>
    <w:rsid w:val="00AD73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D4E5"/>
  <w15:chartTrackingRefBased/>
  <w15:docId w15:val="{A8C3FB89-622F-41FA-99AE-36E3A0C4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83D"/>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183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91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3908</Words>
  <Characters>2229</Characters>
  <Application>Microsoft Office Word</Application>
  <DocSecurity>0</DocSecurity>
  <Lines>18</Lines>
  <Paragraphs>12</Paragraphs>
  <ScaleCrop>false</ScaleCrop>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Buša</dc:creator>
  <cp:keywords/>
  <dc:description/>
  <cp:lastModifiedBy>Santa Buša</cp:lastModifiedBy>
  <cp:revision>1</cp:revision>
  <dcterms:created xsi:type="dcterms:W3CDTF">2022-03-10T07:00:00Z</dcterms:created>
  <dcterms:modified xsi:type="dcterms:W3CDTF">2022-03-10T07:03:00Z</dcterms:modified>
</cp:coreProperties>
</file>