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zemes īpašuma vērtības noteikšana, ko veic neatkarīgs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36.4. apakšpunktā paredzēta zemes īpašuma vērtības noteikšana, ko veic neatkarīgs eksperts. Lai gan projekta anotācijā norādīts, ka šīs izmaksas saistītas ar zemes vai īpašuma vērtības pieauguma noteikšanu invazīvo sugu ierobežošanas un izplatības mazināšanas pasākumu rezultātā, nav skaidrots, kāpēc šāds vērtējums ir nepieciešams, kā arī vai šāda pieeja varētu būt saistīta ar nekustamo īpašumu atsavināšanu, tostarp Natura 2000 teritorijās. Lūdzam precizēt šīs izmaksu pozīcijas pamatotību un tās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izmaksas ir attiecināmas no 2024. gada 1. janvāra. Projekta darbības nevar būt pabeigtas pirms projekta iesnieguma iesniegšanas sadarbības iestādē. Ja tiek piesaistīts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minētais sadarbības partneris, projekta izmaksas ir attiecināmas no 2024. gada 1. janvāra, atbilstoši Eiropas Komisijas 2014. gada 17. jūnija Regulas (ES) Nr. 651/2014, ar ko noteiktas atbalsta kategorijas atzīst par saderīgām ar iekšējo tirgu, piemērojot Līguma 107. un 108. pantu (turpmāk – regula Nr. 651/2014) 6.panta 5.punkta “m” un “n” apakšpunktu, kurš nosaka stimulējošās ietekmes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projekta izmaksas ir attiecināmas no 2024. gada 1. janvāra, atsaucoties uz Eiropas Komisijas 2014. gada 17. jūnija Regulu (ES) Nr. 651/2014, ar ko noteiktas atbalsta kategorijas, kas atzīstamas par saderīgām ar iekšējo tirgu, piemērojot Līguma 107. un 108. pantu, (turpmāk – regula Nr. 651/2014) un tās 6. panta 5. punkta “m” un “n” apakšpunktu, kas nosaka stimulējošās ietekmes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nav sniegts pietiekams skaidrojums par šo izmaksu attiecināšanas pamatotību, ņemot vērā, ka projekta darbības nevar būt pabeigtas pirms projekta iesnieguma iesniegšanas sadarbības iestādē. Lūdzam detalizēti pamatot, kā tiek nodrošināta atbilstība regulas Nr. 651/2014 prasībām un kāpēc izmaksu attiecināšanas sākuma datums ir noteikts tieši 2024.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17.12.2024.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17.12.2024.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