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likumprojekta anotācijas 1.3. sadaļu, precizējot, kā notiks nacionālās drošības preču aprites subjektu informēšana par izveidoto sarakstu – vai papildus publicēšanai Latvijas Republikas oficiālajā izdevumā “Latvijas Vēstnesis” tiks nodrošināta informācija arī Ārlietu ministrijas interneta vietnē, līdzīgi kā šobrīd tiek nodrošināta informācijas pieejamība par “Stratēģiskās nozīmes preču kontroli”.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Ozoliņš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likumprojekta anotācijas 2.2. sadaļu, norādot tiesību akta ietekmi uz uzņēmumiem.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Ozoliņš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31.07.2025.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31.07.2025.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