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būvdarbu pieredzi, būvdarbu veicējs ne vienmēr savlaicīgi veic norēķinus ar pasūtītāju par patērētajiem resursiem (elektrību, siltumu, ūdeni u.c.) un līguma pārtraukšanas gadījumā pasūtītājam ne vienmēr pastāv iespēja šīs summas atgūt no būvuzņēmēja, līdz ar to būtu lietderīgi papildināt nosacījumus noteikumu projekta 29.punktā aiz vārdiem "par konstatētiem līgumsaistību pārkāpumiem" ar vārdiem "būvdarbu veicējam nav parādsaistību pret pasūtītāju saistībā ar patērētajiem resursiem (elektrību, apkuri, ūdeni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būvdarbu veicējam nav parādsaistību pret pasūtītāju saistībā ar patērētajiem resursiem (elektrību, apkuri, ūdeni u.c.),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Adamane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26.03.2024.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26.03.2024.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