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Administratīvo teritoriju un apdzīvoto vietu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2024. gada 30.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nepieciešamību esošo Varakļānu novada administratīvo teritoriju iekļaut Madonas novada administratīvajā teritorijā jau ar 2024.gada 30.jūniju, vienlīdz pārejas noteikumu 2.pielikuma 33.</w:t>
            </w:r>
            <w:r w:rsidR="00000000" w:rsidRPr="00000000" w:rsidDel="00000000">
              <w:rPr>
                <w:vertAlign w:val="superscript"/>
                <w:rtl w:val="0"/>
              </w:rPr>
              <w:t xml:space="preserve">6</w:t>
            </w:r>
            <w:r w:rsidR="00000000" w:rsidRPr="00000000" w:rsidDel="00000000">
              <w:rPr>
                <w:rtl w:val="0"/>
              </w:rPr>
              <w:t xml:space="preserve"> punktā norādot, ka līdz 2025. gada pašvaldību vēlēšanās ievēlētās domes pirmajai sēdei Varakļānu un Madonas novadu pašvaldības turpina pildīt savas funkcijas administratīvajās teritorijās, kādas tās bija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administratīvi teritoriālās reformas ietvaros pašvaldībām tika piešķirta mērķdotācija administratīvi teritoriālās reformas ieviešanai, kas sniedza būtisku atbalstu pašvaldībai reformas procesu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3.punkta sadaļā “cita informācija” tiek norādīts, ka   “likumprojektam būs ietekme uz jaunveidojamā Madonas novada budžetu, ņemot vērā, ka pēc apvienošanās jāievieš jaunais pašvaldības darbības modelis, jāizdod jauni saistošie noteikumi, jāpārskata personālsastāvs un jāveic citas ar apvienošanās nodrošināšanu saistītas darbības, taču paredzamā finansiālā ietekme nav precīzi aprēķināma.”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likumdevēju noteikt normatīvo regulējumu par mērķdotācijas piešķiršanu Madonas novada pašvaldībai reformas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Atzinumi_22-TA-3223.docx</dc:title>
</cp:coreProperties>
</file>

<file path=docProps/custom.xml><?xml version="1.0" encoding="utf-8"?>
<Properties xmlns="http://schemas.openxmlformats.org/officeDocument/2006/custom-properties" xmlns:vt="http://schemas.openxmlformats.org/officeDocument/2006/docPropsVTypes"/>
</file>