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kas paredz, ka, 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w:t>
            </w:r>
            <w:r w:rsidR="00000000" w:rsidRPr="00000000" w:rsidDel="00000000">
              <w:rPr>
                <w:b w:val="1"/>
                <w:rtl w:val="0"/>
              </w:rPr>
              <w:t xml:space="preserve">veikt izvērtējumu par izmaksu un ieguvumu analīzi</w:t>
            </w:r>
            <w:r w:rsidR="00000000" w:rsidRPr="00000000" w:rsidDel="00000000">
              <w:rPr>
                <w:rtl w:val="0"/>
              </w:rPr>
              <w:t xml:space="preserve"> Eiropas Savienības fondu projektiem, kuru atlase paredzēta ierobežotas projektu iesniegumu atlases veidā un projekta kopējās izmaksas (ieskaitot PVN) pārsniedz 1 miljonu euro, vienlaikus, atbildīgā iestāde minēto risinājumu var nepiemērot, ja to objektīvi un izvērsti pamato Ministru kabineta noteikumu par specifisko atbalsta mērķa īstenošanu anotācijā, aicinām izvērtēt un, ja attiecināms, papildināt noteikumu projektu ar pienākumu finansējuma saņēmējam veikt izvērtējumu par izmaksu un ieguvumu analīzi vai papildināt anotāciju ar skaidrojumu risinājuma izvēlei.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informācijas un publicitātes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noteikumu projekta 13.7., 20.3. un 25.6.apakšpunktu. Vēršam uzmanību, ka ir nepieciešams precizēt vārdus "informācijas un publicitātes pasākumu", kas neatbilst vadošās iestādes vadlīnijās "Vadlīnijas Ministru kabineta noteikumu par specifiskā atbalsta mērķa īstenošanu izstrādei Eiropas Savienības fondu 2021.—2027. gada plānošanas periodā" lietotiem jēdzieniem. Attiecīgi lūdzam aizstāt vārdus "informācijas un publicitātes pasākumu" ar vārdiem "komunikācijas un vizuālās identitātes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Labklājības ministriju iekļaut protokollēmumā punktu, kas paredz, ka 4.3.3.6. pasākuma ietvaros projekta personāla atlīdzības izmaksām tiks izstrādāta vienkāršoto izmaksu metodika un norādīt provizorisko termiņu metodikas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01.08.2023. 22.21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01.08.2023. 22.21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