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23-TA-460: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6.1.1. specifiskā atbalsta mērķa „Pārejas uz klimatneitralitāti radīto ekonomisko, sociālo un vides seku mazināšana visvairāk skartajos reģionos” 6.1.1.3. pasākuma „Atbalsts uzņēmējdarbībai nepieciešamās publiskās infrastruktūras attīstībai, veicinot pāreju uz klimatneitrālu ekonomiku”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48.3.3. atjaunojamās enerģijas avots atbilst Eiropas Parlamenta un Padomes Direktīvā (ES) 2018/2001 (2018.gada 11.decembris) </w:t>
            </w:r>
            <w:r w:rsidR="00000000" w:rsidRPr="00000000" w:rsidDel="00000000">
              <w:rPr>
                <w:i w:val="1"/>
                <w:rtl w:val="0"/>
              </w:rPr>
              <w:t xml:space="preserve">par no atjaunojamajiem energoresursiem iegūtas enerģijas izmantošanas veicināšanu</w:t>
            </w:r>
            <w:r w:rsidR="00000000" w:rsidRPr="00000000" w:rsidDel="00000000">
              <w:rPr>
                <w:rtl w:val="0"/>
              </w:rPr>
              <w:t xml:space="preserve"> 2.panta 1.punktā minētajam;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noteikumu projekta 48.3.3. apakšpunktā ietverto atsauci uz direktīvu aizstāt ar atsauci uz nacionālo normatīvo tiesību aktu, kurā konkrētā direktīva ir pārņemta. Vēršam uzmanību, ka atbilstoši Līguma par Eiropas Savienības darbību 288. panta trešajai daļai direktīvas dalībvalstīm uzliek saistības attiecībā uz sasniedzamo rezultātu, bet ļauj dalībvalstīm izvēlēties to īstenošanas formas un metodes. Proti, direktīvas atšķirībā no regulām nav tieši piemērojamas un tās kļūst saistošas personām tikai no brīža, kad tās ir pārņemtas Latvijas tiesību aktos.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48.10. atbalsta saņēmējs atbilstoši regulas Nr. 651/2014 14. panta 5.punktam nodrošina, ka pēc ieguldījuma pabeigšanas ieguldījums paliek attiecīgajā apgabalā lielā komersanta gadījumā vismaz piecus gadus vai mazā un vidējā komersanta gadījumā vismaz trīs gadus. Tas neliedz aizstāt minētajā periodā novecojušās vai bojātās ražotnes vai aprīkojumu, ja vien konkrētā saimnieciskā darbība attiecīgajā apgabalā tiek turpināta vismaz minimālo periodu;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48.10. apakšpunktu, nepārrakstot tajā Eiropas Komisijas 2014. gada 17. jūnija Regulas (ES) Nr. 651/2014, ar ko noteiktas atbalsta kategorijas atzīst par saderīgām ar iekšējo tirgu, piemērojot Līguma 107. un 108. pantu, 14. panta 5. punktā ietverto regulējumu. Vēršam uzmanību, ka Eiropas Savienības regulu prasības ir aizliegts pārrakstīt nacionālajā normatīvajā aktā. Tādēļ ir prettiesiski tādi nacionālie regulas normas īstenošanas mehānismi, kas rada šķēršļus regulas tiešam efektam un apdraud vienlaicīgu un vienādu tās piemērošanu Eiropas Savienībā, bet tai pašā laikā ir jānodrošina to tiešā piemērošana katrā dalībvalstī.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23-TA-460</w:t>
    </w:r>
    <w:r>
      <w:br/>
    </w:r>
    <w:r w:rsidR="00000000" w:rsidRPr="00000000" w:rsidDel="00000000">
      <w:rPr>
        <w:rtl w:val="0"/>
      </w:rPr>
      <w:t xml:space="preserve">Izdrukāts 14.09.2023. 17.18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23-TA-460</w:t>
    </w:r>
    <w:r>
      <w:br/>
    </w:r>
    <w:r w:rsidR="00000000" w:rsidRPr="00000000" w:rsidDel="00000000">
      <w:rPr>
        <w:rtl w:val="0"/>
      </w:rPr>
      <w:t xml:space="preserve">Izdrukāts 14.09.2023. 17.18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Atzinumi_23-TA-460.docx</dc:title>
</cp:coreProperties>
</file>

<file path=docProps/custom.xml><?xml version="1.0" encoding="utf-8"?>
<Properties xmlns="http://schemas.openxmlformats.org/officeDocument/2006/custom-properties" xmlns:vt="http://schemas.openxmlformats.org/officeDocument/2006/docPropsVTypes"/>
</file>