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Oficiālo publikāciju un tiesiskās informācijas likuma 9. panta ceturtā daļa noteic, ka</w:t>
            </w:r>
            <w:r w:rsidR="00000000" w:rsidRPr="00000000" w:rsidDel="00000000">
              <w:rPr>
                <w:u w:val="single"/>
                <w:rtl w:val="0"/>
              </w:rPr>
              <w:t xml:space="preserve"> normatīvajam aktam vai tā daļai nav atpakaļejoša spēka, izņemot likumā īpaši paredzētus gadījumus</w:t>
            </w:r>
            <w:r w:rsidR="00000000" w:rsidRPr="00000000" w:rsidDel="00000000">
              <w:rPr>
                <w:rtl w:val="0"/>
              </w:rPr>
              <w:t xml:space="preserve">. Projekta pielikumā ietverti nosacījumi ar atpakaļejošu spēku - noteikti atkritumu savākšanas apjomi, kas attiecināmi no 2026. gada 1. janvāra. Ievērojot minēto, lūdzam izvērtēt projekta pielikumu un precizēt to vai papildināt anotācijas 1.3. apakšsadaļu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projekta 2. pielikumā, kur tiek daļēji pārrakstītas </w:t>
            </w:r>
            <w:r w:rsidR="00000000" w:rsidRPr="00000000" w:rsidDel="00000000">
              <w:rPr>
                <w:i w:val="1"/>
                <w:rtl w:val="0"/>
              </w:rPr>
              <w:t xml:space="preserve">Komisijas 2025. gada 13. novembra Īstenošanas regulas (ES) 2025/2289, ar ko nosaka noteikumus par to, kā attiecībā uz datu ziņošanas formātu, kā arī bateriju atkritumu savākšanas un apstrādes novērtēšanas metodēm un darbības nosacījumiem piemērot Eiropas Parlamenta un Padomes Regulu (ES) 2023/1542,</w:t>
            </w:r>
            <w:r w:rsidR="00000000" w:rsidRPr="00000000" w:rsidDel="00000000">
              <w:rPr>
                <w:rtl w:val="0"/>
              </w:rPr>
              <w:t xml:space="preserve"> I pielikumā noteiktās ziņošanas tabulas.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regulu, lūdzam to pārrakstīt identiski un papildus skaidrot nepieciešamību veikt Regulas teksta daļu inkorporēšanu nacionālajos tiesību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Proti, nevis "atbilstoši šobrīd spēkā esošai muitas nomenklatūrai", bet "atbilstoši Padomes 1987. gada 23. jūlija Regulai (EEK) Nr. 2658/87 par tarifu un statistikas nomenklatūru un kopējo muitas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1. pielikumā lūdzam ievērot vienotu pieeju tabulu formulējumos. Piemēram, 3.2. tabulā lietoti divi formulējumu veidi, nosaucot konkrētus bateriju veidus un vienkārši to materiālus ("litija" un "niķeļa-kadmija baterijas"), bet 3.3. tabulā uzskaitīti tikai bateriju materiāli.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nepieciešamos precizējumus, nodrošinot pilnīgu projekta atbilstības Eiropas Savienības tiesību aktiem atspoguļojumu. Atbilstoši anotācijas 1.3. apakšsadaļai un projekta 2. pielikumam projekts saistīts ar Eiropas Komisijas 13. novembra 2025. gada Īstenošanas regulu (ES) 2025/2289, ar ko nosaka noteikumus par to, kā attiecībā uz datu ziņošanas formātu, kā arī bateriju atkritumu savākšanas un apstrādes novērtēšanas metodēm un darbības nosacījumiem piemērot Eiropas Parlamenta un Padomes Regulu (ES) 2023/1542 (turpmāk - regula 2025/2289). Piemēram, skaidrots, ka projekta 10. punktā noteiktā uzskaite atbilst regulā 2025/2289 noteiktajām prasībām, nekonkretizējot, kādas prasības ar to saprotamas, bet 2. pielikums ievieš regulas I pielikumā noteiktās paziņošanas tabulas. Savukārt, atbilstoši projekta 1. pielikumam tiek ieviesta arī Komisijas 2025. gada 21. marta Deleģētā regula (ES) 2025/606, ar ko Eiropas Parlamenta un Padomes Regulu (ES) 2023/1542 papildina, nosakot metodiku, kā aprēķināt un verificēt reciklēšanas efektivitāti un materiālu atgūšanu no bateriju atkritumiem, un dokumentācijas formātu.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no </w:t>
            </w:r>
            <w:r w:rsidR="00000000" w:rsidRPr="00000000" w:rsidDel="00000000">
              <w:rPr>
                <w:i w:val="1"/>
                <w:rtl w:val="0"/>
              </w:rPr>
              <w:t xml:space="preserve">Eiropas Parlamenta un Padomes 2023. gada 12. jūlija Regulas (ES) 2023/1542 par baterijām un bateriju atkritumiem, ar ko groza Direktīvu 2008/98/EK un Regulu (ES) 2019/1020 un atceļ Direktīvu 2006/66/EK</w:t>
            </w:r>
            <w:r w:rsidR="00000000" w:rsidRPr="00000000" w:rsidDel="00000000">
              <w:rPr>
                <w:rtl w:val="0"/>
              </w:rPr>
              <w:t xml:space="preserve">, XII pielikuma B daļas (ieviests projekta pielikuma 3.2. apakšpunktā) izriet konkrētu reciklēšanas rādītāju sasniegšana ne vēlāk kā 2025. gada 31. decembrī, bet projektā noteikts, ka attiecīgie rādītāji sasniedzami no 2026. gada 1. janvāra, kas ir vēlāk kā noteikts regulā. Attiecīgi iesakām pārskatīt Regulas 2023/1542 ieviešanu un no tās izrietošos termiņus, veicot nepieciešamos precizējumus projektā vai anotācijā sniegtajos skaidrojumos.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19.02.2026.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19.02.2026.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