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6. maija noteikumos Nr. 237 "Valsts vērtspapīru izlaišanas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anotāciju ar  57.</w:t>
            </w:r>
            <w:r w:rsidR="00000000" w:rsidRPr="00000000" w:rsidDel="00000000">
              <w:rPr>
                <w:vertAlign w:val="superscript"/>
                <w:rtl w:val="0"/>
              </w:rPr>
              <w:t xml:space="preserve">1</w:t>
            </w:r>
            <w:r w:rsidR="00000000" w:rsidRPr="00000000" w:rsidDel="00000000">
              <w:rPr>
                <w:rtl w:val="0"/>
              </w:rPr>
              <w:t xml:space="preserve"> punkta skiadrojumu, ka Pilsonības un migrācijas lietu pārvalde neskatīs pēc būtības pieteikumu par mantojuma masā ietilpstošo bezprocentu obligāciju vērtības izmaksu, kura pienākas mantiniekam, bet tikai pārsūtīs Valsts kasei jautājuma izskatīšanai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Arvīds Zahars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Naudas līdzekļi par mantojuma masā ietilpstošām bezprocentu obligācijām mantiniekam izmaksājami pēc to dzēšanas termiņa beigām un pēc tam, kad mantinieks ir iesniedzis Pilsonības un migrācijas lietu pārvaldē pieteikumu par mantojuma masā ietilpstošo bezprocentu obligāciju vērtības izmaksu, kura pienākas mantiniekam, un uzrādījis dokumentus, kas apliecina tiesības saņemt mantojumu. Minētais pieteikums ir galīgs un neatsaucams. Līdzmantinieku gadījumā, ja mantinieki ir vienojušies par mantojuma sadali, uzrāda arī līgumu vai bāriņtiesas vai tiesas apstiprinātu mantojuma dalīšanas aktu (Civillikumā noteiktajos gadījumos, ciktāl starptautiskajos normatīvajos aktos, kuri ir saistoši Latvijas Republikai,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57.</w:t>
            </w:r>
            <w:r w:rsidR="00000000" w:rsidRPr="00000000" w:rsidDel="00000000">
              <w:rPr>
                <w:vertAlign w:val="superscript"/>
                <w:rtl w:val="0"/>
              </w:rPr>
              <w:t xml:space="preserve">1</w:t>
            </w:r>
            <w:r w:rsidR="00000000" w:rsidRPr="00000000" w:rsidDel="00000000">
              <w:rPr>
                <w:rtl w:val="0"/>
              </w:rPr>
              <w:t xml:space="preserve"> punktu aiz 1.teikuma ar teikumu šādā redakcijā: "Pilsonības un migrācijas lietu pārvalde minēto pieteikumu nekavējoties pārsūta Valsts kasei."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nepieciešams, lai viestu skaidrību, ka Pilsonības un migrācijas lietu pārvalde neskatīs pēc būtības pieteikumu par mantojuma masā ietilpstošo bezprocentu obligāciju vērtības izmaksu, kura pienākas mantiniekam, bet tikai pārsūtīs Valsts kasei jautājuma izskatīšanai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Naudas līdzekļi par mantojuma masā ietilpstošām bezprocentu obligācijām mantiniekam izmaksājami pēc to dzēšanas termiņa beigām un pēc tam, kad mantinieks ir iesniedzis Pilsonības un migrācijas lietu pārvaldē pieteikumu par mantojuma masā ietilpstošo bezprocentu obligāciju vērtības izmaksu, kura pienākas mantiniekam, un uzrādījis dokumentus, kas apliecina tiesības saņemt mantojumu. Pilsonības un migrācijas lietu pārvalde minēto pieteikumu nekavējoties pārsūta Valsts kasei. Minētais pieteikums ir galīgs un neatsaucams. Līdzmantinieku gadījumā, ja mantinieki ir vienojušies par mantojuma sadali, uzrāda arī līgumu vai bāriņtiesas vai tiesas apstiprinātu mantojuma dalīšanas aktu (Civillikumā noteiktajos gadījumos, ciktāl starptautiskajos normatīvajos aktos, kuri ir saistoši Latvijas Republikai,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Arvīds Zahars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25-TA-2250</w:t>
    </w:r>
    <w:r>
      <w:br/>
    </w:r>
    <w:r w:rsidR="00000000" w:rsidRPr="00000000" w:rsidDel="00000000">
      <w:rPr>
        <w:rtl w:val="0"/>
      </w:rPr>
      <w:t xml:space="preserve">Izdrukāts 19.11.2025.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25-TA-2250</w:t>
    </w:r>
    <w:r>
      <w:br/>
    </w:r>
    <w:r w:rsidR="00000000" w:rsidRPr="00000000" w:rsidDel="00000000">
      <w:rPr>
        <w:rtl w:val="0"/>
      </w:rPr>
      <w:t xml:space="preserve">Izdrukāts 19.11.2025.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Atzinumi_25-TA-2250.docx</dc:title>
</cp:coreProperties>
</file>

<file path=docProps/custom.xml><?xml version="1.0" encoding="utf-8"?>
<Properties xmlns="http://schemas.openxmlformats.org/officeDocument/2006/custom-properties" xmlns:vt="http://schemas.openxmlformats.org/officeDocument/2006/docPropsVTypes"/>
</file>