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attīstības pamatnostādņu 2021. – 2027. gadam „Nākotnes prasmes nākotnes sabiedrībai” RĪCĪBAS PLĀNS 2024. –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APRĒĶINI ietekmes novērtējumam uz valsts un pašvaldību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izvērtējusi pievienotos aprēķinus par papildu nepieciešamo finansējumu un norāda, ka Kultūras ministrijai papildu nepieciešamā finansējuma apmērs plāna 1.1.4.1.punkta īstenošanai ir neatbilstošs Kultūras ministrijas aktualizētajiem aprēķiniem  par papildu nepieciešamo finansējumu šādu apsvērumu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Šobrīd ir jau saskaņoti un tuvākajā laikā Ministru kabinetā tiks apstiprināti "Grozījumi Ministru kabineta 2016. gada 5. jūlija noteikumos Nr. 445 "Pedagogu darba samaksas noteikumi" (24-TA-685), kas paredz profesionālās ievirzes pedagogu slodzes izmaiņas, sākot ar 2024.gada 1.septembri, kas palielina valsts budžeta apmaksājamo likmju skaitu. Tajā aprēķinu formā, kas tiek pievienota, nav iespējams norādīt šo papildu nepieciešamo finansējumu, lai ņemtu vērā tā ietekmi uz turpmāku pedagogu darba samaksas pieaugumu no 2025.gada. Vienlaikus jānorāda, ka tā kā slodzes balansa izmaiņas 2024.gadā ir nepilnam gadam un finansējumu šim mērķim plānots piešķirt no līdzekļiem neparedzētiem gadījumiem, tad attiecīgi priekš 2025.gada papildu nepieciešamā finansējuma aprēķina tās būtu attiecīgi jāpārskata pilnam gadam, nevis 4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salīdzinot ar finansiālo ietekmi, kas norādīta  kolonnās "2024. </w:t>
            </w:r>
            <w:r w:rsidR="00000000" w:rsidRPr="00000000" w:rsidDel="00000000">
              <w:rPr>
                <w:vertAlign w:val="superscript"/>
                <w:rtl w:val="0"/>
              </w:rPr>
              <w:t xml:space="preserve">[3]</w:t>
            </w:r>
            <w:r w:rsidR="00000000" w:rsidRPr="00000000" w:rsidDel="00000000">
              <w:rPr>
                <w:rtl w:val="0"/>
              </w:rPr>
              <w:t xml:space="preserve"> (deficīts uzrādīts pie 23-TA-2331)" un "2024. </w:t>
            </w:r>
            <w:r w:rsidR="00000000" w:rsidRPr="00000000" w:rsidDel="00000000">
              <w:rPr>
                <w:vertAlign w:val="superscript"/>
                <w:rtl w:val="0"/>
              </w:rPr>
              <w:t xml:space="preserve">[4]</w:t>
            </w:r>
            <w:r w:rsidR="00000000" w:rsidRPr="00000000" w:rsidDel="00000000">
              <w:rPr>
                <w:rtl w:val="0"/>
              </w:rPr>
              <w:t xml:space="preserve"> (deficīts uzrādīts pie 23-TA-2259)", norādām, ka aprēķini šo normatīvo aktu ietekmei tika veikti 2023.gadā, taču  dati par apmaksātajām pedagoģiskajām likmēm 2024.gadā jau ir precizēti, līdz ar to kolonnā "2024. gadā nepieciešamais, bet nepiešķirtais finansējums (UA 4M, deficīti)" pēc būtības jau ir nepilnīgi un ir aktualizējami, ņemot vērā 2023./2024.mācību gada datus.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ņemot vērā, ka bāzes finansējums, no kura tiek aprēķināts papildu nepieciešamā finansējuma apmērs, ir neatbilstošs pašreizējai situācijai,  līdz ar to arī kopējais papildu nepieciešamā finansējuma apmērs, kas nepieciešams Kultūras ministrijas resoram, ir norādīts neprecīzi. Atbilstoši Kultūras ministrijas veiktajiem aprēķiniem kopējais papildu nepieciešamā finansējuma apmērs 1.1.4.1.punktā paredzētā pedagogu darba samaksas pieauguma nodrošināšanai ir  8 800 755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valsts budžetā piešķirtā finansējuma summas veidlapā: "Izglītības attīstības pamatnostādņu 2021. – 2027. gadam „Nākotnes prasmes nākotnes sabiedrībai” Rīcības plāns 2024. – 2025. gadam: Ietekmes novērtējums uz valsts un pašvaldību budžetu", tajā skaitā lasīšanas veicināšanas pasākumam 87 288 </w:t>
            </w:r>
            <w:r w:rsidR="00000000" w:rsidRPr="00000000" w:rsidDel="00000000">
              <w:rPr>
                <w:i w:val="1"/>
                <w:rtl w:val="0"/>
              </w:rPr>
              <w:t xml:space="preserve">euro</w:t>
            </w:r>
            <w:r w:rsidR="00000000" w:rsidRPr="00000000" w:rsidDel="00000000">
              <w:rPr>
                <w:rtl w:val="0"/>
              </w:rPr>
              <w:t xml:space="preserve">, "Skolas somas" pasākumiem 4 918 360 </w:t>
            </w:r>
            <w:r w:rsidR="00000000" w:rsidRPr="00000000" w:rsidDel="00000000">
              <w:rPr>
                <w:i w:val="1"/>
                <w:rtl w:val="0"/>
              </w:rPr>
              <w:t xml:space="preserve">euro</w:t>
            </w:r>
            <w:r w:rsidR="00000000" w:rsidRPr="00000000" w:rsidDel="00000000">
              <w:rPr>
                <w:rtl w:val="0"/>
              </w:rPr>
              <w:t xml:space="preserve">, kā arī norādīt resora budžeta programmas - 26.00.00 "Sabiedrības saliedētības pasākumi" un 21.00.00 "Kultūras mantojums"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Nr.4.2.2.1.a. (šūna I12) nepieciešams iekļaut KM/LNKC kā līdzatbildīgās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Nr.4.2.2.1.a  (šūna G11) nepieciešams precizēt rezultatīvo rādītāju, iekļaujot arī citus izglītības iestāžu dibinātājus.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Izveidota mācību programma pašvaldību un citu izglītības iestāžu dibinātāju izglītības speciālistiem par datos balstītu lēmumu pieņemšanu izglītības kvalitātes pilnveidei.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Nr.4.2.1.1.a  (šūna G8) nepieciešams papildināt ar citiem izglītības iestāžu dibinātājiem.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 praksē balstīta profesionālās pilnveides programma pašvaldību </w:t>
            </w:r>
            <w:r w:rsidR="00000000" w:rsidRPr="00000000" w:rsidDel="00000000">
              <w:rPr>
                <w:b w:val="1"/>
                <w:rtl w:val="0"/>
              </w:rPr>
              <w:t xml:space="preserve">un citu izglītības iestāžu dibinātājiem </w:t>
            </w:r>
            <w:r w:rsidR="00000000" w:rsidRPr="00000000" w:rsidDel="00000000">
              <w:rPr>
                <w:rtl w:val="0"/>
              </w:rPr>
              <w:t xml:space="preserve">un skolu vadībai datu pratības stiprināšanai izglītības iestāžu izglītības kvalitātes monitoringam un izglītības kvalitātes pilnveidei.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Nr.4.1.2.1.a.  (šūna  I6)  ir nepieciešams precizēt līdzatbildīgās institūcijas, norādot arī LNKC.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Nr.4.1.1.1.a ir nepieciešams precizēt līdzatbildīgās institūcijas un norādīt - pašvaldības sadarbībā ar citiem pašvaldības teritorijā esošo izglītības iestāžu dibinātājiem, kas ir viens no priekšnosacījumiem efektīvas izglītības ekosistēmas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sadarbībā ar citiem pašvaldības teritorijā esošajiem izglītības iestāžu dibinātājiem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rezultāta Nr. 3.3.2.1.a. nepieciešams precizēt rezultatīvo rādītāju, akcentējot arī nozaru ministriju, kuras ir saistītas ar izglītības sektoru,  sadarbību.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 vienota pieaugušo mācību komisija, konsolidējot IZM, LM un EM pieaugušo izglītības pārvaldības formātu, tostarp Pieaugušo izglītības pārvaldības padomi un Apmācības komisiju,</w:t>
            </w:r>
            <w:r w:rsidR="00000000" w:rsidRPr="00000000" w:rsidDel="00000000">
              <w:rPr>
                <w:b w:val="1"/>
                <w:rtl w:val="0"/>
              </w:rPr>
              <w:t xml:space="preserve"> kā arī nodrošinot ar izglītības jomu saistīto nozaru ministriju sadarbību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Nr.3.1.3.3.a lūdzam papildināt  līdzatbildīgās institūcijas ar citiem izglītības iestāžu dibinātājiem.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un citi izglītības iestāžu dibinātāji, izglītības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Nr.2.3.2.2.b. (šūna I61) kā līdzatbildīgo institūciju minēt arī KM/LNKC,  jo LNKC iesaiste ir būtiska, īpaši nosakot darba vidē balstītu mācību specifiku mākslu jomai.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Nr.2.3.2.2.b. (šūna I60) kā līdzatbildīgo institūciju minēt arī KM/LNKC,  jo LNKC iesaiste ir būtiska, īpaši nosakot darba vidē balstītu mācību specifiku mākslu jomai.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Nr.2.3.2.2.a. (šūna I59) kā līdzatbildīgo institūciju minēt arī KM/LNKC,  jo LNKC iesaiste ir būtiska, īpaši, nosakot darba vidē balstītu mācību specifiku mākslu jomai.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KM/LNKC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darbības rezultāta Nr.2.3.2.1.a. (šūna I58) kā līdzatbildīgās institūcijas norādīt KM/LNKC/Kultūrizglītības padome (nozaru ekspertu padome kultūras nozaru un radošo industriju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KM/LNKC/Kultūrizglītības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darbības rezultāta Nr.2.3.2.1.a. (šūna I57) kā līdzatbildīgo institūciju lūdzam pievienot KM/LNKC.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pasākuma Nr.2.2.2.3.a. kā līdzatbildīgo institūciju lūdzam norādīt LNKC.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pasākuma  Nr. 2.2.1.2. (šūnas I28, I29, I30 un I31) redakcijā ir jāmin arī  profesionālās vidējās izglītības iestādes.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Stiprināt izglītības iestāžu </w:t>
            </w:r>
            <w:r w:rsidR="00000000" w:rsidRPr="00000000" w:rsidDel="00000000">
              <w:rPr>
                <w:b w:val="1"/>
                <w:rtl w:val="0"/>
              </w:rPr>
              <w:t xml:space="preserve">(tajā skaitā profesionālo vidējo izglītības iestāžu)</w:t>
            </w:r>
            <w:r w:rsidR="00000000" w:rsidRPr="00000000" w:rsidDel="00000000">
              <w:rPr>
                <w:rtl w:val="0"/>
              </w:rPr>
              <w:t xml:space="preserve"> IKT un digitālo resursu kapacitāti (t.sk. attālinātu mācību nodrošināšanai, mūsdienīgam mācību procesam).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darbības rezultāta Nr. 2.1.2.2.a. (šūnas I18, I19 un I20) norādīt KM/LNKC kā līdzatbildīgās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KM/LNKC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 rezultāta Nr. 2.1.2.1.b.sasniegšanai plānotā pasākuma redakciju nepieciešams papildināt ar mākslu izglītības kompetences centriem, kas pēc sava statusa ir kā tehnikumi, bet tikai mākslu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Stiprināt tehnikumu </w:t>
            </w:r>
            <w:r w:rsidR="00000000" w:rsidRPr="00000000" w:rsidDel="00000000">
              <w:rPr>
                <w:b w:val="1"/>
                <w:rtl w:val="0"/>
              </w:rPr>
              <w:t xml:space="preserve">un mākslu izglītības kompetences centru</w:t>
            </w:r>
            <w:r w:rsidR="00000000" w:rsidRPr="00000000" w:rsidDel="00000000">
              <w:rPr>
                <w:rtl w:val="0"/>
              </w:rPr>
              <w:t xml:space="preserve"> lomu un kapacitāti nozaru atbalstam konkurētspējīga darbaspēka sagatavošanai, veidojot tehnikumus un mākslu izglītības kompetences centrus par nacionāla līmeņa metodiskajiem centriem, tādējādi veicinot  PII konkurētspēju un  veidošanos par profesionālās izglītības izcilības un inovāciju centriem.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 rezultāta Nr. 2.1.2.1.a.sasniegšanai plānotā pasākuma redakciju nepieciešams papildināt ar mākslu izglītības kompetences centriem, kas ir pēc sava statusa kā tehnikumi, bet tikai mākslu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Stiprināt tehnikumu </w:t>
            </w:r>
            <w:r w:rsidR="00000000" w:rsidRPr="00000000" w:rsidDel="00000000">
              <w:rPr>
                <w:b w:val="1"/>
                <w:rtl w:val="0"/>
              </w:rPr>
              <w:t xml:space="preserve">un mākslu izglītības kompetences centru</w:t>
            </w:r>
            <w:r w:rsidR="00000000" w:rsidRPr="00000000" w:rsidDel="00000000">
              <w:rPr>
                <w:rtl w:val="0"/>
              </w:rPr>
              <w:t xml:space="preserve"> lomu un kapacitāti nozaru atbalstam konkurētspējīga darbaspēka sagatavošanai, veidojot tehnikumus un </w:t>
            </w:r>
            <w:r w:rsidR="00000000" w:rsidRPr="00000000" w:rsidDel="00000000">
              <w:rPr>
                <w:b w:val="1"/>
                <w:rtl w:val="0"/>
              </w:rPr>
              <w:t xml:space="preserve">mākslu izglītības kompetences centrus</w:t>
            </w:r>
            <w:r w:rsidR="00000000" w:rsidRPr="00000000" w:rsidDel="00000000">
              <w:rPr>
                <w:rtl w:val="0"/>
              </w:rPr>
              <w:t xml:space="preserve"> par nacionāla līmeņa metodiskajiem centriem, tādējādi veicinot  PII konkurētspēju un  veidošanos par profesionālās izglītības izcilības un inovāciju centriem.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rezultātā Nr.2.1.1.2.b. lūdzam papildināt ar snieguma monitoringu mākslu jomā, piemēram, mūzikā, lai monitorētu, cik efektīvi tiek īstenota "Skola2030", t.sk. vērtēšana, ne tikai STEM jomās, bet arī mākslu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2.1.1.2.b. darbības rezultātā un rezultatīvajā rādītājā lūdzam skaidrot, kas ir "prioritārais mācību saturs'', to norādot iekavās.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Pasākumā Nr.1.1.2.1 (šūna I13 - Līdzatbildīgās institūcijas) jāpapildina ar citiem (kas ietver arī KM) izglītības iestāžu dibinātājiem, kā arī LNKC (pedagogu profesionālās pilnveides kursu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 izglītības iestāžu dibinātāji, LNKC (pilnveides kursu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pasākuma Nr.1.1.4.2. kā līdzatbildīgo institūciju lūdzam norādīt KM/LNKC.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 rezultātā Nr. 1.1.3.1.a. lūdzam pievienot kā līdzatbildīgo institūciju LNKC, lai nodrošinātu, ka arī Kultūras ministrijas padotības iestādēs  mācību priekšmetu skolotājiem  būtu iespēja sadarboties, stiprināt dažādu pieredžu tālāku nodošanu un savstarpēji mācīties.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darbības rezultāta Nr.1.1.2.1.e. rezultatīvo rādītāju, to papildinot ar profesionālajam vidējām izglītības iestādēm.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2.Turpina palielināties Erasmus+ akreditāciju ieguvušo pirmsskolas, vispārējās un </w:t>
            </w:r>
            <w:r w:rsidR="00000000" w:rsidRPr="00000000" w:rsidDel="00000000">
              <w:rPr>
                <w:b w:val="1"/>
                <w:rtl w:val="0"/>
              </w:rPr>
              <w:t xml:space="preserve">profesionālās vidējās izglītības </w:t>
            </w:r>
            <w:r w:rsidR="00000000" w:rsidRPr="00000000" w:rsidDel="00000000">
              <w:rPr>
                <w:rtl w:val="0"/>
              </w:rPr>
              <w:t xml:space="preserve">iestāžu skaits:Erasmus+ akreditēto vispārējās izglītības iestāžu skaits katru gadu pieaudzis  par 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Pasākumā Nr.1.1.2.1. kā līdzatbildīgā institūcija (rezultatīvais rādītājs  - šūna G14) ir jānorāda Latvijas Nacionālais kultūras centrs (LNKC).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Pasākumā Nr.1.1.2.1 (šūna I12 - Līdzatbildīgās institūcijas) jāpapildina ar citiem (kas ietver arī KM) izglītības iestāžu dibinātājiem.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un citi izglītības iestāžu dibinātāji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(2.1.1.4.b) darbības rezultātu atbilstoši Izglītības un zinātnes ministrijas un Kultūras ministrijas 2024.gada 2.augusta sanāksmē pārrunātajam un 2024.gada 8.augustā  nosūtītajiem Kultūras ministrijas priekšlikumiem par Ministru kabineta noteikumu projektu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 (23-TA-1285). Kultūras ministrija ir sagatavojusi priekšlikumus,  iesaistoties KM Kultūrpolitikas departamentam,  Latvijas Nacionālajam kultūras centram, KM Sabiedrības integrācijas departamentam un KM Eiropas Savienības fondu departamentam.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darbības rezultātu Nr .3.1.3.1.b. (lasītprasmes paaugstināšanas un lasīšanas veicināšanas) lūdzam 2025.gada plānā (un turpmākos gados) iekļaut aktivitāti un atbilstošu finansējumu pedagogu un bibliotekāru profesionālajai pilnveidei lasītprasmes kā izglītības pamatprasmes veicināšanai, lai nodrošinātu šo profesionālo prasmju nostiprināšanas pēctecību.Lūdzam plānā iekļaut arī citu Izglītības un zinātnes ministrijas plānoto aktivitāšu virzību lasītprasmes kā izglītības pamatprasmes stiprināšanai, piemēram, lasītprasmes speciālistu pašvaldībās attīstība skolotāju atbalstam šīs prasmes veicināšanai skolās.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24-TA-1631</w:t>
    </w:r>
    <w:r>
      <w:br/>
    </w:r>
    <w:r w:rsidR="00000000" w:rsidRPr="00000000" w:rsidDel="00000000">
      <w:rPr>
        <w:rtl w:val="0"/>
      </w:rPr>
      <w:t xml:space="preserve">Izdrukāts 19.08.2024.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24-TA-1631</w:t>
    </w:r>
    <w:r>
      <w:br/>
    </w:r>
    <w:r w:rsidR="00000000" w:rsidRPr="00000000" w:rsidDel="00000000">
      <w:rPr>
        <w:rtl w:val="0"/>
      </w:rPr>
      <w:t xml:space="preserve">Izdrukāts 19.08.2024.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Atzinumi_24-TA-1631.docx</dc:title>
</cp:coreProperties>
</file>

<file path=docProps/custom.xml><?xml version="1.0" encoding="utf-8"?>
<Properties xmlns="http://schemas.openxmlformats.org/officeDocument/2006/custom-properties" xmlns:vt="http://schemas.openxmlformats.org/officeDocument/2006/docPropsVTypes"/>
</file>