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oficiālās elektroniskās adreses ieviešanas progresu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oficiālās elektroniskās adreses ieviešanas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Oficiālās elektroniskās adreses likuma 12. panta pirmā daļa jau noteic, ka, j</w:t>
            </w:r>
            <w:r w:rsidR="00000000" w:rsidRPr="00000000" w:rsidDel="00000000">
              <w:rPr>
                <w:u w:val="single"/>
                <w:rtl w:val="0"/>
              </w:rPr>
              <w:t xml:space="preserve">a ir aktivizēts oficiālās elektroniskās adreses konts, valsts iestāde un privātpersona sazinās elektroniski un elektronisko dokumentu nosūta, izmantojot oficiālo elektronisko adresi</w:t>
            </w:r>
            <w:r w:rsidR="00000000" w:rsidRPr="00000000" w:rsidDel="00000000">
              <w:rPr>
                <w:rtl w:val="0"/>
              </w:rPr>
              <w:t xml:space="preserve">. Savukārt, ja šā likuma 5. panta otrajā daļā minētā fiziskā persona, kurai ir aktivizēts oficiālās elektroniskās adreses konts, lūdz izmantot citu saziņas kanālu, lūgumu īpaši pamatojot, minēto lūgumu pēc iespējas ņem vērā un izmanto fiziskās personas norādīto dokumenta paziņošanas veidu. No minētā izriet, ka </w:t>
            </w:r>
            <w:r w:rsidR="00000000" w:rsidRPr="00000000" w:rsidDel="00000000">
              <w:rPr>
                <w:u w:val="single"/>
                <w:rtl w:val="0"/>
              </w:rPr>
              <w:t xml:space="preserve">spēkā esošais regulējums jau šobrīd paredz oficiālās elektroniskās adreses prioritāti gan ikdienas saziņā ar privātpersonu, gan dokumentu paziņošanā</w:t>
            </w:r>
            <w:r w:rsidR="00000000" w:rsidRPr="00000000" w:rsidDel="00000000">
              <w:rPr>
                <w:rtl w:val="0"/>
              </w:rPr>
              <w:t xml:space="preserve">. Tādējādi nav atbalstāms piedāvājums Paziņošanas likumā noteikt, ka rakstveida saziņa ar Uzņēmuma reģistra reģistros reģistrētajiem tiesību subjektiem notiek tikai ar e-pakalpojumu lietotņu un oficiālās elektroniskās adreses starpniecību.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institūciju informēšanu par oficiālās elektroniskās adreses prioritāti saziņā ar privātpersonām un dokumentu paziņošanā un attiecīgi oficiālās elektroniskās adreses kā saziņas kanāla aktīvāku izmantošanu Tieslietu ministrijas ieskatā var panākt ar regulāriem izglītojošiem vai informatīviem pasākumiem, neveicot normatīvo aktu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informatīvā ziņojuma projekta 3.1. tabulas "E-adreses pasākumu plāns" 6. punktu. Papildus lūdzam atbilstoši precizēt informatīvā ziņojuma tekstā esošo šī pasākuma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22-TA-3220</w:t>
    </w:r>
    <w:r>
      <w:br/>
    </w:r>
    <w:r w:rsidR="00000000" w:rsidRPr="00000000" w:rsidDel="00000000">
      <w:rPr>
        <w:rtl w:val="0"/>
      </w:rPr>
      <w:t xml:space="preserve">Izdrukāts 20.07.2023.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22-TA-3220</w:t>
    </w:r>
    <w:r>
      <w:br/>
    </w:r>
    <w:r w:rsidR="00000000" w:rsidRPr="00000000" w:rsidDel="00000000">
      <w:rPr>
        <w:rtl w:val="0"/>
      </w:rPr>
      <w:t xml:space="preserve">Izdrukāts 20.07.2023.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Atzinumi_22-TA-3220.docx</dc:title>
</cp:coreProperties>
</file>

<file path=docProps/custom.xml><?xml version="1.0" encoding="utf-8"?>
<Properties xmlns="http://schemas.openxmlformats.org/officeDocument/2006/custom-properties" xmlns:vt="http://schemas.openxmlformats.org/officeDocument/2006/docPropsVTypes"/>
</file>