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Noteikumu projekta anotācijas 1.3. sadaļā norādīts, ka </w:t>
            </w:r>
            <w:r w:rsidR="00000000" w:rsidRPr="00000000" w:rsidDel="00000000">
              <w:rPr>
                <w:i w:val="1"/>
                <w:rtl w:val="0"/>
              </w:rPr>
              <w:t xml:space="preserve">celšanas un citām speciālajām pašgājējmašīnām atļauja saglabājas uz gadu, tādējādi nodrošinot esošo valsts nodevu režīmu un regulāru uzraudzību šai īpaši lielgabarīta tehnikai</w:t>
            </w:r>
            <w:r w:rsidR="00000000" w:rsidRPr="00000000" w:rsidDel="00000000">
              <w:rPr>
                <w:rtl w:val="0"/>
              </w:rPr>
              <w:t xml:space="preserve">. Attiecībā uz valsts nodevām netiek lietota tāda terminoloģija, kā "valsts nodevu režīms", tādējādi lūdzam aizstāt vārdus "esošo valsts nodevu režīmu" ar vārdiem "spēkā esošo konkrētās valsts nodevas samaksas kārtību".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Ingūna Runča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16.10.2025.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16.10.2025.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