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(Karšu lietotne)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jūras augstākā bangas robežas (turpmāk – augstākās bangas robeža) un tās buferjoslas noteikšanas, aktualizēšanas un apstiprināšanas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punktā – “jūras </w:t>
            </w:r>
            <w:r w:rsidR="00000000" w:rsidRPr="00000000" w:rsidDel="00000000">
              <w:rPr>
                <w:b w:val="1"/>
                <w:u w:val="single"/>
                <w:rtl w:val="0"/>
              </w:rPr>
              <w:t xml:space="preserve">augstākās</w:t>
            </w:r>
            <w:r w:rsidR="00000000" w:rsidRPr="00000000" w:rsidDel="00000000">
              <w:rPr>
                <w:rtl w:val="0"/>
              </w:rPr>
              <w:t xml:space="preserve"> bangas robežas (turpmāk – augstākās bangas robeža) un tās buferjoslas noteikšanas, aktualizēšanas un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mainīt atsauci uz Latvijas ģeodēzisko koordinātu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“Latvijas ģeodēziskajā koordinātu sistēmā” izteikt “Latvijas ģeodēzisko koordinātu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Noteikumu projektā vārdus “LKS-92” ar “LKS"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 “Valsts vienotā ģeotelpiskās informācijas portālā”  aizstāt ar “Valsts vienotajā ģeotelpiskās informācijas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Augstākās bangas robežu nosaka kamerāli LKS–92, par pamatu izmantojot: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 atsauci uz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punktu precizēt šādi - “Augstākās bangas robežu nosaka kamerāli </w:t>
            </w:r>
            <w:r w:rsidR="00000000" w:rsidRPr="00000000" w:rsidDel="00000000">
              <w:rPr>
                <w:b w:val="1"/>
                <w:u w:val="single"/>
                <w:rtl w:val="0"/>
              </w:rPr>
              <w:t xml:space="preserve">LKS, ar precizitāti ne sliktāku kā viens metrs</w:t>
            </w:r>
            <w:r w:rsidR="00000000" w:rsidRPr="00000000" w:rsidDel="00000000">
              <w:rPr>
                <w:rtl w:val="0"/>
              </w:rPr>
              <w:t xml:space="preserve"> par pamatu izmantojot:”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aktuālos ģeotelpiskos datus par 1,5; 2,0 un 2,5 metru augstumlīknēm Latvijas normālo augstumu sistēmā epohā 2000,5.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mainīt atsauci uz Latvijas normālo augstumu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punktu papildināt  “aktuālos ģeotelpiskos datus par 1,5; 2,0 un 2,5 metru augstumlīknēm Latvijas normālo augstumu sistēmā epohā 2000,5 </w:t>
            </w:r>
            <w:r w:rsidR="00000000" w:rsidRPr="00000000" w:rsidDel="00000000">
              <w:rPr>
                <w:b w:val="1"/>
                <w:u w:val="single"/>
                <w:rtl w:val="0"/>
              </w:rPr>
              <w:t xml:space="preserve">(turpmāk - LAS 2000,5)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12. un 21.2.  punktā “Latvijas normālo augstumu sistēmā epohā 2000,5” aizstāt ar “LAS 2000,5”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Ģeotelpiskās informācijas aģentūra (turpmāk - aģentūra) augstākās bangas robežas un tās buferjoslu noteikšanai Latvijas Vides, ģeoloģijas un meteoroloģijas centram nodrošina šādu datu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 ierosinām izvērtēt iespēju svītrot vārdus "(turpmāk – aģentūra)" aiz "Latvijas Ģeotelpiskās informācijas aģentūra, attiecīgi precizējot Noteikumu projekta 22. punktu, ņemot vērā, ka saīsinājums “aģentūra” Noteikumu projektā lietots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ģeotelpiskos datus par 1,5; 2,0 un 2,5 metru augstumlīknēm Latvijas normālo augstumu sistēmā epohā 2000,5.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 atsauci uz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punktu precizēt šādi - "ģeotelpiskos datus par 1,5; 2,0 un 2,5 metru augstumlīknēm </w:t>
            </w:r>
            <w:r w:rsidR="00000000" w:rsidRPr="00000000" w:rsidDel="00000000">
              <w:rPr>
                <w:b w:val="1"/>
                <w:u w:val="single"/>
                <w:rtl w:val="0"/>
              </w:rPr>
              <w:t xml:space="preserve">LAS 2000,5 ar precizitāti ne sliktāku kā 1,5 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punktā kā izstrādes pamatojums norādīts Ministrijas/iestādes iniciatīva, bet uzdevums normatīvā akta izstrādei tomēr uzdots ar Ministru kabineta 2018. gada 28. augusta sēdes protokollēmuma (prot. Nr. 40 25. §) "Noteikumu projekts “Grozījumi Ministru kabineta 2012. gada 10. aprīļa noteikumos Nr. 263 "Kadastra objekta reģistrācijas un kadastra datu aktualizācijas noteikumi"" 5. punktu (tālāk tekstā minēts) – pretruna.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aicinām Latvijas Ģeotelpiskās informācijas aģentūras nosaukuma saīsinājumā primāri izmantot to saīsinājumu, kas lietots ārējā iestādes reglamentējošajā normatīvā. Mūsu gadījumā aģentūras nolikumā saīsinājums lietots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26.06.2023.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26.06.2023.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