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524 "Kārtība, kādā nosaka, aprēķina un uzskaita katra dzīvojamās mājas īpašnieka maksājamo daļu par dzīvojamās mājas uzturēšanai nepieciešamajiem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8.1.3., 8.1.6. un 8.1.7. ietekmes aprakstā no "ūdens zudumus" uz "enerģijas zudumus" vai "enerģijas un ūdens zudumus"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izmantoto terminoloģiju 2.1, 2.2.3., 2.2.4., 8.1.3., 8.1.6., 8.1.7. - vai "attālināti nolasāmas ierīces" un "attālināti nolasāmas individuālo siltumenerģijas patēriņa uzskaites ierīces" ir attiecināms uz Noteikumu projektā minēto siltumenerģijas patēriņa noteikšanas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ietekmes aprakstu un pielāgot to ar 1.1. Pamatojuma aprakstā minētajiem ieguvumiem un darbības principiem, izvēloties siltumenerģijas patēriņa noteikšanas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kā ir pārņemts tiesību akta projektā 2023. gada 13. septembra Eiropas Parlamenta un Padomes direktīvas (ES) 2023/1791 par energoefektivitāti un ar ko groza Regulu (ES) 2023/955 (pārstrādātā redakcija) (turpmāk – Direktīva 2023/1791) </w:t>
            </w:r>
            <w:r w:rsidR="00000000" w:rsidRPr="00000000" w:rsidDel="00000000">
              <w:rPr>
                <w:b w:val="1"/>
                <w:rtl w:val="0"/>
              </w:rPr>
              <w:t xml:space="preserve">16.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5.4.sadaļas 1.tabulā </w:t>
            </w:r>
            <w:r w:rsidR="00000000" w:rsidRPr="00000000" w:rsidDel="00000000">
              <w:rPr>
                <w:i w:val="1"/>
                <w:rtl w:val="0"/>
              </w:rPr>
              <w:t xml:space="preserve">Tiesību akta projekta atbilstība ES tiesību aktiem</w:t>
            </w:r>
            <w:r w:rsidR="00000000" w:rsidRPr="00000000" w:rsidDel="00000000">
              <w:rPr>
                <w:rtl w:val="0"/>
              </w:rPr>
              <w:t xml:space="preserve"> </w:t>
            </w:r>
            <w:r w:rsidR="00000000" w:rsidRPr="00000000" w:rsidDel="00000000">
              <w:rPr>
                <w:b w:val="1"/>
                <w:rtl w:val="0"/>
              </w:rPr>
              <w:t xml:space="preserve">nav minēta </w:t>
            </w:r>
            <w:r w:rsidR="00000000" w:rsidRPr="00000000" w:rsidDel="00000000">
              <w:rPr>
                <w:rtl w:val="0"/>
              </w:rPr>
              <w:t xml:space="preserve">2023. gada 13. septembra Eiropas Parlamenta un Padomes direktīvas (ES) 2023/1791 par energoefektivitāti un ar ko groza Regulu (ES) 2023/955 (pārstrādātā redakcija) (turpmāk – Direktīva 2023/1791)</w:t>
            </w:r>
            <w:r w:rsidR="00000000" w:rsidRPr="00000000" w:rsidDel="00000000">
              <w:rPr>
                <w:b w:val="1"/>
                <w:rtl w:val="0"/>
              </w:rPr>
              <w:t xml:space="preserve">16. panta pārņemšana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Tabulā 1 </w:t>
            </w:r>
            <w:r w:rsidR="00000000" w:rsidRPr="00000000" w:rsidDel="00000000">
              <w:rPr>
                <w:i w:val="1"/>
                <w:rtl w:val="0"/>
              </w:rPr>
              <w:t xml:space="preserve">Tiesību akta projekta atbilstība ES tiesību aktiem</w:t>
            </w:r>
            <w:r w:rsidR="00000000" w:rsidRPr="00000000" w:rsidDel="00000000">
              <w:rPr>
                <w:rtl w:val="0"/>
              </w:rPr>
              <w:t xml:space="preserve">, ka ir pārņemts 2023. gada 13. septembra Eiropas Parlamenta un Padomes direktīvas (ES) 2023/1791 par energoefektivitāti un ar ko groza Regulu (ES) 2023/955 (pārstrādātā redakcija) (turpmāk – Direktīva 2023/1791) </w:t>
            </w:r>
            <w:r w:rsidR="00000000" w:rsidRPr="00000000" w:rsidDel="00000000">
              <w:rPr>
                <w:b w:val="1"/>
                <w:rtl w:val="0"/>
              </w:rPr>
              <w:t xml:space="preserve">18. panta 1.punkts</w:t>
            </w:r>
            <w:r w:rsidR="00000000" w:rsidRPr="00000000" w:rsidDel="00000000">
              <w:rPr>
                <w:rtl w:val="0"/>
              </w:rPr>
              <w:t xml:space="preserve">, attiecīgi, kā tas ir norādīts 5.1.sadaļā.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nosakot maksājamo daļu, tiek izmantota siltumenerģijas uzskaites (sadales) iespēja, kas nav minēta šo noteikumu </w:t>
            </w:r>
            <w:r w:rsidR="00000000" w:rsidRPr="00000000" w:rsidDel="00000000">
              <w:rPr>
                <w:rtl w:val="0"/>
              </w:rPr>
              <w:t xml:space="preserve">19.</w:t>
            </w:r>
            <w:r w:rsidR="00000000" w:rsidRPr="00000000" w:rsidDel="00000000">
              <w:rPr>
                <w:rtl w:val="0"/>
              </w:rPr>
              <w:t xml:space="preserve"> punktā, dzīvojamās mājas īpašnieki var vienoties arī par citas, šo noteikumu pielikumos neminētas siltumenerģijas patēriņa metodikas izmantošanu, ja tiek ievēroti šo noteikumu pielikumos minētajās metodikās noteiktie siltumenerģijas sadales aprēķinu principi un metodiku ir apstiprinājis neatkarīgs eksperts. Vienlaikus ir jānodrošina, ka  dzīvojamā  mājā individuālā siltumenerģijas patēriņa ierīces ir uzstādītas vairāk par 70 % no kopējā dzīvokļu,  nedzīvojam telpu un mākslinieku darbnīcu skaita dzīvojamā  mājā.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ierosinājums: Ierosinām vārdu "</w:t>
            </w:r>
            <w:r w:rsidR="00000000" w:rsidRPr="00000000" w:rsidDel="00000000">
              <w:rPr>
                <w:b w:val="1"/>
                <w:rtl w:val="0"/>
              </w:rPr>
              <w:t xml:space="preserve">nedzīvojam</w:t>
            </w:r>
            <w:r w:rsidR="00000000" w:rsidRPr="00000000" w:rsidDel="00000000">
              <w:rPr>
                <w:rtl w:val="0"/>
              </w:rPr>
              <w:t xml:space="preserve">" aizstāt ar "</w:t>
            </w:r>
            <w:r w:rsidR="00000000" w:rsidRPr="00000000" w:rsidDel="00000000">
              <w:rPr>
                <w:b w:val="1"/>
                <w:rtl w:val="0"/>
              </w:rPr>
              <w:t xml:space="preserve">nedzīvojamo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nosakot maksājamo daļu, tiek izmantota siltumenerģijas uzskaites (sadales) iespēja, kas nav minēta šo noteikumu 19. punktā, dzīvojamās mājas īpašnieki var vienoties arī par citas, šo noteikumu pielikumos neminētas siltumenerģijas patēriņa metodikas izmantošanu, ja tiek ievēroti šo noteikumu pielikumos minētajās metodikās noteiktie siltumenerģijas sadales aprēķinu principi un metodiku ir apstiprinājis neatkarīgs eksperts. Vienlaikus ir jānodrošina, ka  dzīvojamā  mājā individuālā siltumenerģijas patēriņa ierīces ir uzstādītas vairāk par 70 % no kopējā dzīvokļu, nedzīvojamo telpu un mākslinieku darbnīcu skaita dzīvojamā mājā.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24-TA-729</w:t>
    </w:r>
    <w:r>
      <w:br/>
    </w:r>
    <w:r w:rsidR="00000000" w:rsidRPr="00000000" w:rsidDel="00000000">
      <w:rPr>
        <w:rtl w:val="0"/>
      </w:rPr>
      <w:t xml:space="preserve">Izdrukāts 21.08.2024.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24-TA-729</w:t>
    </w:r>
    <w:r>
      <w:br/>
    </w:r>
    <w:r w:rsidR="00000000" w:rsidRPr="00000000" w:rsidDel="00000000">
      <w:rPr>
        <w:rtl w:val="0"/>
      </w:rPr>
      <w:t xml:space="preserve">Izdrukāts 21.08.2024.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Atzinumi_24-TA-729.docx</dc:title>
</cp:coreProperties>
</file>

<file path=docProps/custom.xml><?xml version="1.0" encoding="utf-8"?>
<Properties xmlns="http://schemas.openxmlformats.org/officeDocument/2006/custom-properties" xmlns:vt="http://schemas.openxmlformats.org/officeDocument/2006/docPropsVTypes"/>
</file>