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Konvencijas par vardarbības pret sievietēm un vardarbību ģimenē novēršanu un apkarošanu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Sieviešu nevalstisko organizāciju sadarbības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atbalstām ziņojumu, kā arī plānotos pasākumus. Īpaši vēlamies uzsvērt, ka Labklājības ministrija gan Vardarbības pret sievieti un vardarbības ģimenē novēršanas un apkarošanas plāna 2024.–2029. gadam izstrādē, gan uzraudzībā iesaistījusi un turpina iesaistīt un informēt visas kompetentās institūcijas, tai skaitā kompetentās NVO.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formalizētaja'darba grupā pārstāvēts tikai Centrs Marta, nevis visas kompetentās organizācijas. Rosinām visām ministrijām īstenot vienotu, atvērtu un uz līdzdalību virzītu darbību, iesaistot regulārā sadarbībā visas ieinteresētās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Ielīte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07.10.2025.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07.10.2025.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Atzinumi_25-TA-2386.docx</dc:title>
</cp:coreProperties>
</file>

<file path=docProps/custom.xml><?xml version="1.0" encoding="utf-8"?>
<Properties xmlns="http://schemas.openxmlformats.org/officeDocument/2006/custom-properties" xmlns:vt="http://schemas.openxmlformats.org/officeDocument/2006/docPropsVTypes"/>
</file>