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Anotācijas 1.3. apakšpunktā norādītajam, ka ir izvērtēts prasību un izmaksu samērīgums pret ieguvumiem. Attiecīgās sadaļas apraksts ietver tikai vispārīgas frāzes, tajā pašā laikā nepiedāvājot vispār nekādu finansiālu aprēķinu, cik šādas papildus funkcijas veikšana var izmaksāt katrai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Anotācijas 6. punktā norādītajam, ka sabiedrības līdzdalība uz šo tiesību akta projektu neattiecas. Tas nonāk pretrunā ar Anotācijas 1.3. apakšpunktā norādīto, citējam: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w:t>
            </w:r>
            <w:r w:rsidR="00000000" w:rsidRPr="00000000" w:rsidDel="00000000">
              <w:rPr>
                <w:u w:val="single"/>
                <w:rtl w:val="0"/>
              </w:rPr>
              <w:t xml:space="preserve">sabiedrības</w:t>
            </w:r>
            <w:r w:rsidR="00000000" w:rsidRPr="00000000" w:rsidDel="00000000">
              <w:rPr>
                <w:rtl w:val="0"/>
              </w:rPr>
              <w:t xml:space="preserve"> interesēs ir būtisks elements valsts pārvaldes atklātības, nodokļu maksātāju naudas efektīvas izmantošanas un korupcijas risku mazināšanas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sabiedrībai</w:t>
            </w:r>
            <w:r w:rsidR="00000000" w:rsidRPr="00000000" w:rsidDel="00000000">
              <w:rPr>
                <w:rtl w:val="0"/>
              </w:rPr>
              <w:t xml:space="preserve"> ir tiesības zināt, vai sākotnēji noslēgtais līgums atbilst gala izmaksām, jo iepirkumu līgumu grozījumi nereti sadārdzina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atklātība par katru iztērēto eiro mazina aizdomas par līdzekļu izšķērdēšanu vai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ļauj </w:t>
            </w:r>
            <w:r w:rsidR="00000000" w:rsidRPr="00000000" w:rsidDel="00000000">
              <w:rPr>
                <w:u w:val="single"/>
                <w:rtl w:val="0"/>
              </w:rPr>
              <w:t xml:space="preserve">sabiedrībai</w:t>
            </w:r>
            <w:r w:rsidR="00000000" w:rsidRPr="00000000" w:rsidDel="00000000">
              <w:rPr>
                <w:rtl w:val="0"/>
              </w:rPr>
              <w:t xml:space="preserve"> un pētniekiem izvērtēt, vai publiskie līdzekļi ir snieguši gaidīto sociālo un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normatīvā akta virzība tiek pamatota ar sabiedrības interesēm, lūdzam nodrošināt atbilstošu sabiedrības līdzdalību normatīvā akta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paredzēto pienākumu iestādēm savās oficiālajās tīmekļvietnēs atsevišķi publicēt informāciju par visiem veiktajiem iepirkumiem un noslēgtajiem iepirkuma līgumiem neatkarīgi no līgumcenas. Prasība rada paralēlu informācijas publicēšanas kanālu jau esošajiem Iepirkumu uzraudzības biroja reģistriem un EIS, tādējādi radot nepieciešamību vienus un tos pašus datus uzturēt vairākās informācijas vidēs. Tas palielina datu neatbilstības, novecošanas un informācijas integritātes risku, jo izmaiņas līgumā, līgumcenā, izpildes termiņā vai faktiskajos maksājumos jāatspoguļo vairākos informācijas avotos. IUB jau nodrošina centralizētu informāciju par noslēgtajiem iepirkuma līgumiem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2027. gadam paredzētais decentralizētais risinājums rada iestādēm būtisku administratīvo un tehnisko slogu, lai izveidotu un uzturētu procesu, kas paredzēts tikai kā pārejas risinājums uz vienu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iestādes tīmekļvietnē tiek nodrošināta saite uz centralizētu informācijas avotu, kur pieejami dati par visu valsts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attiecināt publicēšanas pienākumu uz katru darījumu no 0,01 EUR rada situāciju, kur administratīvās izmaksas un kļūdu risks var būt nesamērīgs ar informācijas sabiedrisko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mērķis ir paplašināt publisko iepirkumu datu pieejamību, īpaši attiecībā uz zemsliekšņa iepirkumiem. Tomēr šā mērķa sasniegšanai nav nepieciešams noteikt 0,01 EUR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Samērīgāks risinājums būtu noteikt saprātīgu monetāro slieksni vai saglabāt informācijas pieejamību par visiem darījumiem centralizētā sistēmā, bet neprasīt to atkārtoti publicēt katras iestādes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tiktu saglabāta sabiedrības iespēja iegūt pilnu informāciju, vienlaikus neradot katrai iestādei pienākumu uzturēt otru datu kopiju.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Leikums (ZM) (Armands Šmits (ZM)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27.08.2026.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27.08.2026.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