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un pārbūve,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paredzēti arī attiecināmo izmaksu nosacījumi, lūdzam atbilstoši precizēt noteikumu projekta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minēto mērķu, rādītāju un kopējo rādītāju sasniegšanu apliecina Kohēzijas politikas fondu vadības informācijas sistēmā (turpmāk – vadības informācijas sistēma) šajos noteikumos noteiktā veidā un kārtībā iesniegtais dokumentu un informācijas kopums saskaņā ar normatīvajiem aktiem par Atveseļošanas fonda plāna Darbības kārtību, par kuru vienojas Eiropas Komisija un Latvija.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7. punktā svītrot vārdus "normatīvajiem aktiem", ņemot vērā, ka attiecīgais regulējums ir ietverts starptautiskajā līgumā, nevis normatīvajos aktos, ar kuriem minētais līgums tiek apstiprināts. Kā arī lūdzam minētajā punktā norādīt konkrētu 2022. gada 16. februāra Atveseļošanas fonda plāna Darbības kārtības, par kuru vienojas Eiropas Komisija un Latvija, vienību, kas paredz attiecīgu regulējumu,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īstenošanā iesaistīto institūciju tiesības, pienākumus un uzraudzības kārtību nosaka atbilstoši normatīvajiem aktiem par Atveseļošanas fonda plāna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8. punktu, ņemot vērā, ka attiecīgajai tiesību normai nav juridiskas slodzes un tā ir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iesniedz </w:t>
            </w:r>
            <w:r w:rsidR="00000000" w:rsidRPr="00000000" w:rsidDel="00000000">
              <w:rPr>
                <w:rtl w:val="0"/>
              </w:rPr>
              <w:t xml:space="preserve">Meliorācijas likuma</w:t>
            </w:r>
            <w:r w:rsidR="00000000" w:rsidRPr="00000000" w:rsidDel="00000000">
              <w:rPr>
                <w:rtl w:val="0"/>
              </w:rPr>
              <w:t xml:space="preserve"> 19. pantā noteiktais valsts meliorācijas sistēmu un valsts nozīmes meliorācijas sistēmu būvniecību, uzturēšanu un ekspluatāciju nodrošinātājs – valsts sabiedrība ar ierobežotu atbildību "Zemkopības ministrijas nekustamie īpašumi" (turpmāk – projekta īstenotājs), kas pēc projekta iesnieguma apstiprināšanas saņem finansējumu investīcijas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norādīt, vai iesniedzams ir projekts vai projekta iesniegums (tai skaitā kurā brīdī projekta iesniegums kvalificējas kā projekts). Tāpat līdzīgi lūdzam noteikumu projektā konsekventi lietot terminu "investīcijas projekts" vai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investīciju projekta netiešās attiecināmās izmaksas, piemērojot vienoto likmi trīs procentu apmērā no šo noteikumu attiecināmajām tiešajām izmaksām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​​​​54. panta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punktu, loģiski un secīgi sākotnēji paredzot attiecināmo izmaksu dalījumu tiešās un netiešās attiecināmās izmaksās, kā arī skaidri norādot, kuras ir investīcijas projekta tiešās attiecināmās izmaksas, bet secīgi, kura ir investīcijas projekta netiešās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citas ar būvniecību saistītas izmaksas, kas noteiktas būvniecības jomu un vides jomu regulējošajos normatīvajos aktos un pašvaldību saistošajos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18.5. apakšpunktā ietverto atsauci uz pašvaldību saistošajiem noteikumiem. Norādām, ka noteikumu projektā neietver atsau­ces uz zemāka juridiskā spēka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informācijas un publicitātes pasākumu izmaksas saskaņā ar Eiropas Parlamenta un Padomes 2021. gada 12. februāra Regulas (ES)  </w:t>
            </w:r>
            <w:r w:rsidR="00000000" w:rsidRPr="00000000" w:rsidDel="00000000">
              <w:rPr>
                <w:rtl w:val="0"/>
              </w:rPr>
              <w:t xml:space="preserve">2021/241</w:t>
            </w:r>
            <w:r w:rsidR="00000000" w:rsidRPr="00000000" w:rsidDel="00000000">
              <w:rPr>
                <w:rtl w:val="0"/>
              </w:rPr>
              <w:t xml:space="preserve">, ar ko izveido Atveseļošanas un noturības mehānismu, (turpmāk – regula </w:t>
            </w:r>
            <w:r w:rsidR="00000000" w:rsidRPr="00000000" w:rsidDel="00000000">
              <w:rPr>
                <w:rtl w:val="0"/>
              </w:rPr>
              <w:t xml:space="preserve">2021/241</w:t>
            </w:r>
            <w:r w:rsidR="00000000" w:rsidRPr="00000000" w:rsidDel="00000000">
              <w:rPr>
                <w:rtl w:val="0"/>
              </w:rPr>
              <w:t xml:space="preserve">) 34. 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(turpmāk – Finansēšanas nolīgums) 10. pantu, kā arī </w:t>
            </w:r>
            <w:r w:rsidR="00000000" w:rsidRPr="00000000" w:rsidDel="00000000">
              <w:rPr>
                <w:rtl w:val="0"/>
              </w:rPr>
              <w:t xml:space="preserve">Eiropas Savienības fondu 2021.–2027. gada plānošanas perioda un Atveseļošanas fonda komunikācijas un dizaina vadlīnijām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131. punktu lūdzam noteikumu projekta 18.8. un 34.2. apakšpunktā svītrot atsauci uz Eiropas Savienības fondu 2021.–2027. gada plānošanas perioda un Atveseļošanas fonda komunikācijas un dizaina vadlīnijām. Nepieciešamības gadījumā lūdzam minētās vadlīniju saturu pārņemt noteikumu projektā vai iekļaut līgumā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pievienotās vērtības nodokļa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13. punktam pievienotās vērtības nodokļa izmaksas nav attiecināmas finansēšanai no Atveseļošanas fonda, bet šādas izmaksas ir iekļaujamas Atveseļošanas fonda finansētajā projektā un finansējamas no valsts budžeta līdzekļiem. Attiecīgi, ņemot vērā, ka noteikumu projekta 18. punktā ietvertas attiecināmās (no Atveseļošanas fonda) izmaksas, lūdzam izvērtēt un svītrot noteikumu projekta 18.9.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Zemkopības ministrija noslēdz līgumu par projektu īstenošanu (turpmāk – līgums) ar dienestu un projekta īstenotāju, iekļaujot līgumā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sākotnēji paredzēt kārtību un nosacījumus, kuriem iestājoties (kādus kritērijus izpildot), projekta iesniegums tiek apstiprināts un tiek noslēgts līgums par projekta īstenošanu. Norādām, ka šobrīd noteikumu projektā ietvertais regulējums, kas paredz līguma noslēgšanu, pirms projekta apstiprināšanas, nav loģisks un skaidri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līgumā noteikto objektu sarakstu, kas ir norādīts Atveseļošanas fonda plāna principa "nenodarīt būtisku kaitējumu"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20.6. apakšpunktā ietverto atsauci uz Atveseļošanas fonda plāna principa "nenodarīt būtisku kaitējumu" pielikumu redakciju un saturu. Norādām, ka principiem nav pielikumu, savukārt noteikumu projektā nav pieļaujamas atsauces uz Atveseļošanas fonda plāna saturu, kurš ir apstiprināts ar Ministru kabineta rīkojumu un nav privātpersonām saistošs.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pēc nepieciešamības sagatavot atbilstošus novērtējumus projekta ietekmei uz vidi, kā minēts Padomes 1992. gada 21. maija Direktīvas </w:t>
            </w:r>
            <w:r w:rsidR="00000000" w:rsidRPr="00000000" w:rsidDel="00000000">
              <w:rPr>
                <w:rtl w:val="0"/>
              </w:rPr>
              <w:t xml:space="preserve">92/43/EEK</w:t>
            </w:r>
            <w:r w:rsidR="00000000" w:rsidRPr="00000000" w:rsidDel="00000000">
              <w:rPr>
                <w:rtl w:val="0"/>
              </w:rPr>
              <w:t xml:space="preserve"> par dabisko dzīvotņu, savvaļas faunas un floras aizsardzību (turpmāk – Direktīva 92/43/EEK) 6. panta 3. punktā, lai novērtētu ierosināto projektu ietekmi uz aizsargājamām sugām un dzīvotnēm, kā noteikts Eiropas Parlamenta un Padomes 2009. gada 30. novembra Direktīvā </w:t>
            </w:r>
            <w:r w:rsidR="00000000" w:rsidRPr="00000000" w:rsidDel="00000000">
              <w:rPr>
                <w:rtl w:val="0"/>
              </w:rPr>
              <w:t xml:space="preserve">2009/147/EK</w:t>
            </w:r>
            <w:r w:rsidR="00000000" w:rsidRPr="00000000" w:rsidDel="00000000">
              <w:rPr>
                <w:rtl w:val="0"/>
              </w:rPr>
              <w:t xml:space="preserve"> par savvaļas putnu aizsardzību un Direktīvā 92/43/EEK. Atbilstoši novērtējumi nepieciešami visiem projektiem, kas atrodas bioloģiskās daudzveidības ziņā jutīgos apgabalos vai to tuvumā, ja to nosaka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 Ievērojot minēto, lūdzam precizēt noteikumu projektu, svītrojot no tā atsauces uz direktīvas normām, bet tā vietā izdarot atsauces uz Latvijas ārējiem normatīvajiem aktiem, ar kuriem attiecīgās direktīvu prasības ir pārņemtas nacionālajā tiesību sistēmā. Ja atsauces uz direktīvām ir obligāta Eiropas Komisijas prasība, jebkurā gadījumā lūdzam noteikumu projektā atsaukties uz konkrētajām nacionālo normatīvo aktu normām, ar kurām minēto direktīvu prasības ir pārņemtas, noteikumu projekta anotācijā sniedzot atbilstošu skaidrojumu, tai skaitā norādot, ka konkrētajā gadījumā atsauces uz direktīvām tiek izdarītas, lai nodrošinātu privātpersonas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īstenotājs ir tiesīgs īstenot investīcijas projektu un projekta iesniegumu uzskata par atbilstošu šiem noteikumiem, ja uz projekta īstenotāju nav attiecināms neviens no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īstenotājs ir tiesīgs īstenot investīcijas projektu un projekta iesniegumu uzskata par atbilstošu šiem noteikumiem ne tikai gadījumā, ja nav attiecināms neviens no izslēgšanas kritērijiem, bet arī gadījumā, ja izpildītas arī citas prasības (uz ko cita starpā norāda arī noteikumu projekta regulējums, kas paredz pienākumu papildināt vai precizēt informāciju par projektu), lūdzam atbilstoši precizēt noteikumu projekta 26. punktu (nepieciešamības gadījumā arī citas vienības), paredzot, kādiem vēl nosacījumiem jāatbilst projekta iesniegumam.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projekta iesniegums ir noraidīts, projekta īstenotājam ir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29. punktu. Norādām, ka norādei uz apstrīdēšanu Administratīvā procesa likuma kārtībā nav juridiskas slodzes un minētais izriet no norādītā likuma, savukārt tiesības iesniegt citu projekta iesniegumu, lai īstenotu citu investīcijas projektu, nav speciāli paredzamas noteikumu projektā, ciktāl noteikumu projekts neparedz atbilstošu investīcijas īstenošanas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priekšfinanējumu projekta īstenotājs var saņemt, iesniedzot dienestā rakstisku pieprasījumu par priekšfinansējuma maksājumu, bet ne vairāk kā 50 procentu apmērā no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punktu nepieciešams izvērtēt un pārstrādāt, nodrošinot, ka attiecīgais regulējums ir loģiski izklāstīts, skaidri saprotams un pārskatāms. Norādām, ka šobrīd cita starpā nav viennozīmīgi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visi maksājumi kvalificējas kā priekšfinansējums (noteikumu projektā norādīts arī uz starpposma un noslēguma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ar ko atšķiras maksājuma pārskaitīšana no finansējuma izmaksāšanas;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saprotams, pēc kādas projekta daļas īstenošanas var tikt sagatavots priekšfinansējuma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saprotams, kādēļ papildus vienam maksājumam tiek pārskaitīts nākamais priekšfinansējuma maksājums par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viennozīmīgi skaidrs, ar ko atšķiras 30.2. un 30.5. apakšpunktā paredzētā finansējuma izmaksāšanas kārtība un pamatojums atšķirībām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Dienestam ir tiesības uzsākt korektīvas darbības vai pieņemt lēmumu par projekta īstenošanas pārtraukšanu vai apturēšanu: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viennozīmīgi skaidri saprotams, kādā kārtībā, proti, civiltiesiskā vai administratīvi procesuālā, atbilstoši noteikumu projekta 32. punktam paredzēts vērtēt korektīvu darbību uzsākšanu vai projekta īstenošanas pārtraukšanu vai apturēšanu. Lai nodrošinātu vienveidīgu, precīzu un korektu tiesību normu piemērošanu, lūdzam paredzēt, ka pēc projekta iesnieguma apstiprināšanas un līguma par projekta īstenošanu noslēgšanas, dienests noteiktos gadījumos var vienpusēji uzteikt minēto līgumu, līdzīgi kā tas tiek noregulēts citos Atveseļošanas un noturības mehānisma investīciju īstenošanas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nodrošina projekta atbilstību upju baseinu apgabala plūdu riska pārvaldības plāniem 2021.–2027.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upju baseinu apgabala plūdu riska pārvaldības plānu 2021.–2027. gadam saistošo spēku attiecībā uz projekta īstenotāju, nepieciešamības gadījumā precizējot noteikumu projekta 34.1. apakšpunktu. Norādām, ka politikas plānošanas dokumenti Latvijā nav indivīdiem juridiski saistoši, tādēļ noteikumu projektā nedrīkst atsaukties un uzlikt par pienākumu indivīdam ievērot juridiski nesaistošus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34.3.3. projektā paredzēto iepirkuma procedūru apliecinošos dokumentus saskaņā ar publisko iepirkumu reglamentējošajiem normatīvajiem aktiem, īstenojot atklātu un pārredzamu procedūru, kas nav diskriminējoša un nodrošina konkurenci;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34.3.3. apakšpunktā svītrot vārdus "īstenojot atklātu un pārredzamu procedūru, kas nav diskriminējoša un nodrošina konkurenci" kā redakcionāli nekorektus un noteikumu projekta 32.3. apakšpunktā ietvertā regulējuma dublējošus.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34.3.4. investīcijas projekta īstenošanai un uzraudzībai nepieciešamo informāciju un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minētos rādītājus, kā arī projekta beigās paziņo aktuālās sasniegtās vērtības, pievienojot dokumentus, kas apliecina šo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34.3.4. apakšpunktu, ņemot vērā, ka rādītāji netiks iesniegti. Kā arī tiesiskās noteiktības nolūkā lūdzam minētajā apakšpunktā skaidrot, kuram brīdim atbilst projekta beigas.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34.12. vadības informācijas sistēmā laikus uzkrāj Atveseļošanas fondam nepieciešamos un regulas </w:t>
            </w:r>
            <w:r w:rsidR="00000000" w:rsidRPr="00000000" w:rsidDel="00000000">
              <w:rPr>
                <w:rtl w:val="0"/>
              </w:rPr>
              <w:t xml:space="preserve">2021/241</w:t>
            </w:r>
            <w:r w:rsidR="00000000" w:rsidRPr="00000000" w:rsidDel="00000000">
              <w:rPr>
                <w:rtl w:val="0"/>
              </w:rPr>
              <w:t xml:space="preserve"> 22. un 27. pantā minētos datus, tostarp informāciju Atveseļošanas fonda īstenošanas progresa pusgada ziņojuma un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34.12. apakšpunktā skaidri norādīt vai tā anotācijā skaidrot, kādos termiņos uzkrājami attiecīgie dati, tai skaitā vai līgumā par projekta īstenošanu tas tik noteikts. Alternatīvi lūdzam minētajā apakšpunktā svītrot vārdu "laikus".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34.14. nodrošina atsevišķu projekta izmaksu, tajā skaitā pievienotās vērtības nodokļa izmaksu, uzskaiti un nodalīšanu, kā arī atmaksā pārmaksāto pievienotās vērtības nodokļa daļu, ja sākotnēji plānotais pievienotās vērtības nodokļa apmērs būs lielāks, nekā faktiski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34.14. apakšpunktu, nodrošinot, ka minētajā apakšpunktā netiek dublēts noteikumu projekta 34.9. apakšpunktā ietvertais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izpildītas Latvijas saistības, kuras ietvertas Eiropas Komisijas un Latvijas Republikas Atveseļošanas un noturības mehānisma finansēšanas nolīgumā un Atveseļošanas fonda plāna Darbības kārtībā, par kuru vienojas Eiropas Komisija un Latvija, lūdzam papildināt noteikumu projekta anotācijas 5. sadaļu ar informāciju par attiecīgo starptautisko tiesību aktu, kurā noteiktās saistības ar noteikumu projektu izpilda Latvijas Republika, šajā dokumentā noteiktās saistībām, to būtību un konkrētiem veicamiem pasākumiem vai uzdevumiem, kas nepieciešami šo saistību izpildei, kā arī starptautiskajā dokumentā paredzēto saistību īstenošanai nepiecie­šamajiem pasākumiem vai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noteikumu projekta stāšanās spēkā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39 890 070 </w:t>
            </w:r>
            <w:r w:rsidR="00000000" w:rsidRPr="00000000" w:rsidDel="00000000">
              <w:rPr>
                <w:i w:val="1"/>
                <w:rtl w:val="0"/>
              </w:rPr>
              <w:t xml:space="preserve">euro</w:t>
            </w:r>
            <w:r w:rsidR="00000000" w:rsidRPr="00000000" w:rsidDel="00000000">
              <w:rPr>
                <w:rtl w:val="0"/>
              </w:rPr>
              <w:t xml:space="preserve"> apmērā investīcijas īstenošanai, tai skaitā šī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pievienotās vērtības nodokļa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lēmuma projekta 4. punktu, norādot tiesību subjektu, kam ir pienākums pieprasīt finansējumu, tādējādi nodrošinot precīzu un korektu attiecīgā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samazināt plūdu risku Latvijas lauku teritorijā un stimulēt pielāgošanās pasākumus klimata pārmaiņām atbilstoši nacionālajām programmām, applūstošajās teritorijās mazinot risku iedzīvotājiem un visiem uzņēmējdarbības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2. punktu, termina "uzņēmējdarbība" vietā izmantojot terminu "komercdarbība" vai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34.14. nodrošina atsevišķu projekta izmaksu, tajā skaitā pievienotās vērtības nodokļa izmaksu, uzskaiti un nodalīšanu, kā arī atmaksā pārmaksāto pievienotās vērtības nodokļa daļu, ja sākotnēji plānotais pievienotās vērtības nodokļa apmērs būs lielāks, nekā faktiski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34.14. apakšpunktā lietot tagadnes formu un norādīt, ka pievienotās vērtības nodokļa apmērs ir lielāks, nekā faktiski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17.04.2023.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17.04.2023.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