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26-TA-966: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Stratēģiskas nozīmes preču aprites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papildināt ar 1.</w:t>
            </w:r>
            <w:r w:rsidR="00000000" w:rsidRPr="00000000" w:rsidDel="00000000">
              <w:rPr>
                <w:vertAlign w:val="superscript"/>
                <w:rtl w:val="0"/>
              </w:rPr>
              <w:t xml:space="preserve">3</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 Speciālā atļauja (licence) komercdarbībai ar Eiropas Savienības Kopējā militāro preču sarakstā minētajām precēm (izņemot šaujamieročus, munīciju, pirotehniku un sprāgstvielas un to komponentes un rezerves daļas) nav nepieciešama stratēģiskas nozīmes preču aprites subjektiem, kas neatbilst šā likuma 5. panta ceturtajā daļā minētajam individuālā komersanta vai komercsabiedrības statusam un kas importē, pārvieto no Eiropas Savienības dalībvalstīm, glabā vai lieto Eiropas Savienības Kopējā militāro preču sarakstā minētās preces (izņemot šaujamieročus, munīciju, pirotehniku un sprāgstvielas un to komponentes un rezerves daļas), kuras nepieciešamas normatīvajos aktos noteikto pienākumu izpildei saistībā ar valsts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w:t>
            </w:r>
            <w:r w:rsidR="00000000" w:rsidRPr="00000000" w:rsidDel="00000000">
              <w:rPr>
                <w:vertAlign w:val="superscript"/>
                <w:rtl w:val="0"/>
              </w:rPr>
              <w:t xml:space="preserve">4</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4</w:t>
            </w:r>
            <w:r w:rsidR="00000000" w:rsidRPr="00000000" w:rsidDel="00000000">
              <w:rPr>
                <w:rtl w:val="0"/>
              </w:rPr>
              <w:t xml:space="preserve">) Šā panta 1.</w:t>
            </w:r>
            <w:r w:rsidR="00000000" w:rsidRPr="00000000" w:rsidDel="00000000">
              <w:rPr>
                <w:vertAlign w:val="superscript"/>
                <w:rtl w:val="0"/>
              </w:rPr>
              <w:t xml:space="preserve">3</w:t>
            </w:r>
            <w:r w:rsidR="00000000" w:rsidRPr="00000000" w:rsidDel="00000000">
              <w:rPr>
                <w:rtl w:val="0"/>
              </w:rPr>
              <w:t xml:space="preserve"> daļā minētais izņēmums ir piemērojams, ja stratēģiskas nozīmes preču aprites subjekts ir iesniedzis komitejā: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apstiprinājumu no Aizsardzības ministrijas, ka konkrētas Eiropas Savienības Kopējā militāro preču sarakstā minētās preces (izņemot šaujamieročus, munīciju, pirotehniku un sprāgstvielas un to komponentes un rezerves daļas) tam ir nepieciešamas normatīvajos aktos noteikto pienākumu izpildei saistībā ar valsts aizsardzību. Aizsardzības ministrijas apstiprinājums satur informāciju par stratēģiskas nozīmes preču aprites subjektu, konkrētu militāro preču grupu no Eiropas Savienības Kopējā militāro preču sarakstā minētajām precēm (izņemot šaujamieročus, munīciju, pirotehniku un sprāgstvielas un to komponentes un rezerves daļas), atsauci uz normatīvajiem aktiem, preču glabāšanas vietu un norādi, vai preces ir izmantojamas ikdienā vai arī tikai izņēmuma stāvokļa gadījumā atbilstoši likumam "Par ārkārtējo situāciju un izņēmuma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Iekšējās kārtības noteikumus par attiecīgo Eiropas Savienības Kopējā militāro preču sarakstā minēto preču (izņemot šaujamieročus, munīciju, pirotehniku un sprāgstvielas un to komponentes un rezerves daļas) lietošanu un glabāšanu.";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w:t>
            </w:r>
            <w:r w:rsidR="00000000" w:rsidRPr="00000000" w:rsidDel="00000000">
              <w:rPr>
                <w:vertAlign w:val="superscript"/>
                <w:rtl w:val="0"/>
              </w:rPr>
              <w:t xml:space="preserve">5</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5</w:t>
            </w:r>
            <w:r w:rsidR="00000000" w:rsidRPr="00000000" w:rsidDel="00000000">
              <w:rPr>
                <w:rtl w:val="0"/>
              </w:rPr>
              <w:t xml:space="preserve">) Speciālā atļauja (licence) komercdarbībai ar Eiropas Savienības Kopējā militāro preču sarakstā minētajām precēm (izņemot šaujamieročus, munīciju, pirotehniku un sprāgstvielas un to komponentes un rezerves daļas) nav nepieciešama stratēģiskas nozīmes preču aprites subjektiem, kas eksportē vai pārvieto uz Eiropas Savienības dalībvalstīm Eiropas Savienības Kopējā militāro preču sarakstā minētās preces (izņemot šaujamieročus, munīciju, pirotehniku un sprāgstvielas un to komponentes un rezerves daļas) remonta, apkopes, preču atgriešanas vai maiņas vajadzībām un kas iepriekš ir importējuši vai pārvietojuši no Eiropas Savienības dalībvalstīm Eiropas Savienības Kopējā militāro preču sarakstā minētās preces (izņemot šaujamieročus, munīciju, pirotehniku un sprāgstvielas un to komponentes un rezerves daļas) atbilstoši šā panta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4</w:t>
            </w:r>
            <w:r w:rsidR="00000000" w:rsidRPr="00000000" w:rsidDel="00000000">
              <w:rPr>
                <w:rtl w:val="0"/>
              </w:rPr>
              <w:t xml:space="preserve"> daļai.".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w:t>
            </w:r>
            <w:r w:rsidR="00000000" w:rsidRPr="00000000" w:rsidDel="00000000">
              <w:rPr>
                <w:vertAlign w:val="superscript"/>
                <w:rtl w:val="0"/>
              </w:rPr>
              <w:t xml:space="preserve">3</w:t>
            </w:r>
            <w:r w:rsidR="00000000" w:rsidRPr="00000000" w:rsidDel="00000000">
              <w:rPr>
                <w:rtl w:val="0"/>
              </w:rPr>
              <w:t xml:space="preserve"> daļu ar skaidrāku atsauci uz to, ka likumprojektā “Grozījumi Stratēģiskas nozīmes preču aprites likumā” paredzētais izņēmums attieksies uz kritisko infrastruktūru. Kultūras ministrijas ieskatā formulējums “nepieciešamas normatīvajos aktos noteikto pienākumu izpildei saistībā ar valsts aizsardzību" ir ļoti vispārīgs. Ņemot vērā esošo apdraudējumu, tostarp bezpilota gaisa kuģu uzbrukumus, būtu nepieciešams attiecināt pielietojumu ne tikai uz valsts aizsardzību, bet arī uz nacionālās drošība situācijām ikdienā.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Sarmīte Catlaka (KM) (Zane Vāgnere (KM)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uzskata, ka žurnālistu aizsardzība ir jānodrošina ne tikai militārā apdraudējuma gadījumā, bet arī tagad, miera laikā, piemēram, nodrošinot kritiski nepieciešamo sabiedrības informēšanas funkciju, gatavojot operatīvus sižetus par nokritušiem bezpilota gaisa kuģiem, kuru filmēšanas laikā tiek apdraudēta žurnālistu dzīvība. Tādēļ, lūdzam anotācijā atspoguļot, ka Likumprojekta norma attiektos uz mediju kritisko infrastruktūru, to ikdienas funkciju nodrošināšanu.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Sarmīte Catlaka (KM) (Zane Vāgnere (KM)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26-TA-966</w:t>
    </w:r>
    <w:r>
      <w:br/>
    </w:r>
    <w:r w:rsidR="00000000" w:rsidRPr="00000000" w:rsidDel="00000000">
      <w:rPr>
        <w:rtl w:val="0"/>
      </w:rPr>
      <w:t xml:space="preserve">Izdrukāts 12.05.2026. 09.25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26-TA-966</w:t>
    </w:r>
    <w:r>
      <w:br/>
    </w:r>
    <w:r w:rsidR="00000000" w:rsidRPr="00000000" w:rsidDel="00000000">
      <w:rPr>
        <w:rtl w:val="0"/>
      </w:rPr>
      <w:t xml:space="preserve">Izdrukāts 12.05.2026. 09.25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Atzinumi_26-TA-966.docx</dc:title>
</cp:coreProperties>
</file>

<file path=docProps/custom.xml><?xml version="1.0" encoding="utf-8"?>
<Properties xmlns="http://schemas.openxmlformats.org/officeDocument/2006/custom-properties" xmlns:vt="http://schemas.openxmlformats.org/officeDocument/2006/docPropsVTypes"/>
</file>