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24-TA-3273: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15. septembra noteikumos Nr. 1065 "Noteikumi par aizdevumiem sīko (mikro), mazo un vidējo saimnieciskās darbības veicēju un lauksaimniecības un mežsaimniecības pakalpojumu kooperatīvo sabiedrību attīstības veicināšanai"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izvērst anotācijas 1.3. apakšsadaļā ietvertos noteikumu projekta skaidrojumus. Vēršam uzmanību, ka pašreizējais skaidrojums uzsver tikai nepieciešamību aizstāt atsauces uz Komisijas 2013. gada 18. decembra Regulas (ES) Nr. 1408/2013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lauksaimniecības nozarē (turpmāk - regula 1408/2013) 3. panta 3.a punktu, kas ir svītrots, aizstājot to ar atbilstošu regulas grozījumu - 3. panta 2. punktu. Taču noteikumu projektā ietvertie grozījumi paredz arī citas izmaiņas.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noteikumu Nr. 108 "Normatīvo aktu projektu sagatavošanas noteikumi" 170.-172. punktam. Vēršam uzmanību, ka atsaucē uz Eiropas Savienības tiesību aktu norāda šādu informāciju: institūcija (Komisija, Padome, Eiropas Parlaments), kas izdevusi attiecīgo tiesību aktu; tiesību akta pieņemšanas datums; veids (regula, direktīva, lēmums); numurs un nosaukums atbilstoši tiesību akta nosaukumam latviešu valodā EUR-Lex datu bāzē. Piemēram, Komisijas 2013. gada 18. decembra Regula (ES) Nr. 1408/2013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lauksaimniecības nozarē.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5.4. apakšsadaļas 1. tabulu, ņemot vēra, ka Regulas 1408/2013 vienības ir grozītas ar Komisijas 2024. gada 10. decembra Regulu (ES) 2024/3118, ar ko groza Regulu (ES) Nr. 1408/2013 par Līguma par Eiropas Savienības darbību 107. un 108. panta piemērošanu de minimis atbalstam lauksaimniecības nozarē (turpmāk - regula 2024/3118).  Attiecīgi, anotācijas 5.4. apakšsadaļā 1. tabulas regulas 1408/2013 sadaļu lūdzam pārdēvēt par regulas 2024/3118 sadaļu un nolūkā precīzi atspoguļot Eiropas Savienības tiesību aktu ieviešanu, paredzēt atsauci gan uz grozošo Eiropas Savienības tiesību aktu, gan uz tā korespondējošām tiesību normām (līdzīgi tam kā tas tiek darīts noteikumu projekta 24-TA-3281 anotācijā). Vēršam uzmanību, ka,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noteikumu projekta 1. punkts ievieš Regulas 2024/3118 1. panta 3. punktu (grozīts Regulas 1408/2013 3. panta 2. un 3.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projekta 2., 3. un 4. punkts ievieš Regulas 2024/3118 1. panta 3. punktu (grozīts Regulas 1408/2013 3. panta 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noteikumu projekta 3. un 4. punkts ievieš Regulas 2024/3118 1. panta 5. punktu (grozīts Regulas 1408/2013 5. panta 1., 2. un 2a.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arī noteikumu projektā ieviestais Komisijas 2014. gada 27. jūnija Regulas (ES) Nr. 717/2014 par Līguma par Eiropas Savienības darbību 107. un 108. panta piemērošanu de minimis atbalstam zvejniecības un akvakultūras nozarē (turpmāk - regula 717/2014) 3. panta 2a. punkts pieņemts ar Komisijas 2023. gada 4. oktobra Regulas (ES) 2023/2391, ar ko attiecībā uz de minimis atbalstu zvejas un akvakultūras produktu apstrādei un tirdzniecībai groza Regulas (ES) Nr. 717/2014, (ES) Nr. 1407/2013, (ES) Nr. 1408/2013 un (ES) Nr. 360/2012 un attiecībā uz vienam vienotam uzņēmumam piešķirtā de minimis atbalsta kopējo summu, tā piemērošanas periodu un citiem jautājumiem groza Regulu (ES) Nr. 717/2014 (turpmāk - regula 2023/2391) 1. panta 3. punkta b) apakšpunktu, bet regulas 717/2014 5. panta 1. un 2. punkts grozīts ar regulas 2023/2391 1. panta 5.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5.4. apakšsadaļas 1. tabulas Regulas 717/2014 sadaļu. Vēršam uzmanību, ka, ja noteikumu projekta 4. punkts ievieš visu regulu kopumā, nepieciešams izvērtēt no tās izrietošo dalībvalstu rīcības brīvību izmantošanu vai neizmantošanu, attiecināmību uz konkrēto noteikumu projektu un anotācijas 5.4. apakšsadaļas 1. tabulā skaidrot "Kā ir izmantota ES tiesību aktā paredzētā rīcības brīvība dalībvalstij pārņemt vai ieviest noteiktas ES tiesību akta normas? Kādēļ?". Piemēram, regulas 717/2014 3. panta 2a. punkts paredz, ka "</w:t>
            </w:r>
            <w:r w:rsidR="00000000" w:rsidRPr="00000000" w:rsidDel="00000000">
              <w:rPr>
                <w:i w:val="1"/>
                <w:rtl w:val="0"/>
              </w:rPr>
              <w:t xml:space="preserve">atkāpjoties no 2. punkta,</w:t>
            </w:r>
            <w:r w:rsidR="00000000" w:rsidRPr="00000000" w:rsidDel="00000000">
              <w:rPr>
                <w:i w:val="1"/>
                <w:u w:val="single"/>
                <w:rtl w:val="0"/>
              </w:rPr>
              <w:t xml:space="preserve"> dalībvalsts var nolemt, </w:t>
            </w:r>
            <w:r w:rsidR="00000000" w:rsidRPr="00000000" w:rsidDel="00000000">
              <w:rPr>
                <w:i w:val="1"/>
                <w:rtl w:val="0"/>
              </w:rPr>
              <w:t xml:space="preserve">ka vienam vienotam uzņēmumam piešķirtā </w:t>
            </w:r>
            <w:r w:rsidR="00000000" w:rsidRPr="00000000" w:rsidDel="00000000">
              <w:rPr>
                <w:rtl w:val="0"/>
              </w:rPr>
              <w:t xml:space="preserve">de minimis</w:t>
            </w:r>
            <w:r w:rsidR="00000000" w:rsidRPr="00000000" w:rsidDel="00000000">
              <w:rPr>
                <w:i w:val="1"/>
                <w:rtl w:val="0"/>
              </w:rPr>
              <w:t xml:space="preserve"> atbalsta kopējā summa jebkurā trīs fiskālo gadu periodā nepārsniedz 40 000  EUR, ar noteikumu, ka dalībvalsts ir izveidojusi valsts centrālo reģistru saskaņā ar 6. panta 2. punktu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24-TA-3273</w:t>
    </w:r>
    <w:r>
      <w:br/>
    </w:r>
    <w:r w:rsidR="00000000" w:rsidRPr="00000000" w:rsidDel="00000000">
      <w:rPr>
        <w:rtl w:val="0"/>
      </w:rPr>
      <w:t xml:space="preserve">Izdrukāts 28.12.2024. 14.56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24-TA-3273</w:t>
    </w:r>
    <w:r>
      <w:br/>
    </w:r>
    <w:r w:rsidR="00000000" w:rsidRPr="00000000" w:rsidDel="00000000">
      <w:rPr>
        <w:rtl w:val="0"/>
      </w:rPr>
      <w:t xml:space="preserve">Izdrukāts 28.12.2024. 14.56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Atzinumi_24-TA-3273.docx</dc:title>
</cp:coreProperties>
</file>

<file path=docProps/custom.xml><?xml version="1.0" encoding="utf-8"?>
<Properties xmlns="http://schemas.openxmlformats.org/officeDocument/2006/custom-properties" xmlns:vt="http://schemas.openxmlformats.org/officeDocument/2006/docPropsVTypes"/>
</file>