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w:t>
            </w:r>
            <w:r w:rsidR="00000000" w:rsidRPr="00000000" w:rsidDel="00000000">
              <w:rPr>
                <w:i w:val="1"/>
                <w:rtl w:val="0"/>
              </w:rPr>
              <w:t xml:space="preserve">Eiropas Parlamenta un Padomes 2018. gada 14. marta Direktīvā (ES) 2018/410, ar ko groza Direktīvu 2003/87/EK, lai sekmētu emisiju izmaksefektīvu samazināšanu un investīcijas mazoglekļa risinājumos, un Lēmumu (ES) 2015/1814</w:t>
            </w:r>
            <w:r w:rsidR="00000000" w:rsidRPr="00000000" w:rsidDel="00000000">
              <w:rPr>
                <w:rtl w:val="0"/>
              </w:rPr>
              <w:t xml:space="preserve">, nav 10.a. panta kā norādīts ziņojuma 8. lapas daļā: "g - Saskaņā ar Eiropas Parlamenta un Padomes 2018. gada 14. marta Direktīvas 2018/410/ES, 1. panta 14. punktu, ar kuru tiek grozīts Direktīvas 2003/87/EK 10.a pants, lai sekmētu emisiju izmaksefektīvu samazināšanu un investīcijas mazoglekļa risinājumos, un Lēmumu (ES) 2015/1814 </w:t>
            </w:r>
            <w:r w:rsidR="00000000" w:rsidRPr="00000000" w:rsidDel="00000000">
              <w:rPr>
                <w:b w:val="1"/>
                <w:u w:val="single"/>
                <w:rtl w:val="0"/>
              </w:rPr>
              <w:t xml:space="preserve">10.a. pantu</w:t>
            </w:r>
            <w:r w:rsidR="00000000" w:rsidRPr="00000000" w:rsidDel="00000000">
              <w:rPr>
                <w:rtl w:val="0"/>
              </w:rPr>
              <w:t xml:space="preserve">." Ievērojot minēto,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Vienlaicīgi lūdzam ievērot juridiskās tehnikas prasības arī attiecībā uz to, ka saīsinājumus piesaka pirmajā vietā juridiskajā tekstā, kur lietots attiecīgais saīsināmais jēdziens vai termins. Piemēram, Komisija 2020. gada 16. decembra īstenošanas lēmums (ES) 2020/2126 par dalībvalstu ikgadējo emisiju sadales apjomu noteikšanu 2021.–2030. gada periodam saskaņā ar Eiropas Parlamenta un Padomes Regulu (ES) 2018/842.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minētais tostarp attiecas uz saīsinājumu "Lēmums 24/CP.19" u.tml. apzīmējumiem anotācijā, kā arī tā korektu pieteikšanu.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secinājumu daļai tiek noteikta nepieciešamība noteikt papildu politikas un pasākumus Nacionālā enerģētikas un klimata plāna 2021.-2030. gadam atjaunošanas ietvaros, norādot, ka atjauninājuma projekts Eiropas Komisijai jāiesniedz līdz 2023. gada 30. jūnijam. Lūdzam informatīvajā ziņojumā paredzēt konkrētu uzdevumu un atbilstoši Ministru kabineta 2021. gada 7. septembra noteikumiem Nr. 606 "Ministru kabineta kārtības rullis", attiecīgo uzdevumu uzdot, paredzot to Ministru kabineta sēdes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22-TA-3785</w:t>
    </w:r>
    <w:r>
      <w:br/>
    </w:r>
    <w:r w:rsidR="00000000" w:rsidRPr="00000000" w:rsidDel="00000000">
      <w:rPr>
        <w:rtl w:val="0"/>
      </w:rPr>
      <w:t xml:space="preserve">Izdrukāts 13.03.2023.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22-TA-3785</w:t>
    </w:r>
    <w:r>
      <w:br/>
    </w:r>
    <w:r w:rsidR="00000000" w:rsidRPr="00000000" w:rsidDel="00000000">
      <w:rPr>
        <w:rtl w:val="0"/>
      </w:rPr>
      <w:t xml:space="preserve">Izdrukāts 13.03.2023.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Atzinumi_22-TA-3785.docx</dc:title>
</cp:coreProperties>
</file>

<file path=docProps/custom.xml><?xml version="1.0" encoding="utf-8"?>
<Properties xmlns="http://schemas.openxmlformats.org/officeDocument/2006/custom-properties" xmlns:vt="http://schemas.openxmlformats.org/officeDocument/2006/docPropsVTypes"/>
</file>