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25-TA-2199: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16. novembra rīkojumā Nr. 841 "Par Eiropas Savienības kohēzijas politikas programmu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ES kohēzijas politikas programmas 2021. – 2027. gadam (turpmāk – Programma) 31. tabulu “Komisijas nodrošināta attiecināmo izdevumu atlīdzināšana dalībvalstij, pamatojoties uz vienas vienības izmaksām, vienreizējiem maksājumiem un vienotām likmēm – 4.3.3.SAM”, kurā ietverta 4.3.3.1. pasākuma “Bezdarbnieku, darba meklētāju un bezdarba riskam pakļauto personu kvalifikācijas un prasmju paaugstināšana” vienas vienības izmaksu metodika (turpmāk – metodika), lūdzam ņemt vērā, ka joprojām norit metodikas saskaņošana ar revīzijas iestādi (24.09.2025. ieplānota arī sanāksme, kurā paredzēts pārrunāt viedokļus un vienoties par precizējumiem). Līdz ar to šobrīd 31. tabulā ietvertā informācija vēl tiks mainīta. Labklājības ministrija nosūtīs Finanšu ministrijai saskaņoto metodiku pēc iespējas tuvākajā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Grante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Atzinumi_25-TA-2199.docx</dc:title>
</cp:coreProperties>
</file>

<file path=docProps/custom.xml><?xml version="1.0" encoding="utf-8"?>
<Properties xmlns="http://schemas.openxmlformats.org/officeDocument/2006/custom-properties" xmlns:vt="http://schemas.openxmlformats.org/officeDocument/2006/docPropsVTypes"/>
</file>