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punktā ir norādīts, ka Latvijas Republikas Uzņēmumu reģistram nav nodrošināts finansējums interešu pārstāvības reģistra un interešu pārstāvības deklarēšanas sistēmas izstrādei un jautājums par finansējuma piesaisti ir risināms. Atzīmējam, ka Tieslietu ministrija ar 04.03.2024.vēstuli Nr. 1-13.4/700 “Par līdzekļu pārdali no programmas “Apropriācijas rezerve””  ir iesniegusi pieprasījumu finansējuma pārdalei 487 013 euro  apmērā 34.pasākuma “Uzņēmumu reģistra  informācijas sistēmas pielāgošana Interešu pārstāvības atklātības reģistra un interešu pārstāvības deklarēšanas sistēmas ieviešanai” īstenošanai. No iepriekš minētā izriet, ka jautājums par finansējuma nodrošināšanu jau tiek risināts, attiecīgi, lūdzam precizēt 2.3. 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25.03.2024.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