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media/image2.svg" ContentType="image/svg+xml"/>
  <Override PartName="/word/media/image4.svg" ContentType="image/svg+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1.0 -->
  <w:body>
    <w:p w:rsidR="00B05463" w:rsidRPr="00EC2884" w:rsidP="00B05463" w14:paraId="0086DA36" w14:textId="77777777">
      <w:pPr>
        <w:pStyle w:val="Header"/>
        <w:tabs>
          <w:tab w:val="left" w:pos="720"/>
        </w:tabs>
        <w:rPr>
          <w:rFonts w:ascii="Times New Roman" w:hAnsi="Times New Roman"/>
          <w:lang w:val="lv-LV"/>
        </w:rPr>
      </w:pPr>
      <w:r w:rsidRPr="00EC2884">
        <w:rPr>
          <w:rFonts w:ascii="Times New Roman" w:hAnsi="Times New Roman"/>
          <w:lang w:val="lv-LV"/>
        </w:rPr>
        <w:t>Rīgā,</w:t>
      </w:r>
    </w:p>
    <w:p w:rsidR="00B05463" w:rsidRPr="00EC2884" w:rsidP="00B05463" w14:paraId="506E09D4" w14:textId="77777777">
      <w:pPr>
        <w:pStyle w:val="Header"/>
        <w:tabs>
          <w:tab w:val="left" w:pos="720"/>
        </w:tabs>
        <w:rPr>
          <w:rFonts w:ascii="Times New Roman" w:hAnsi="Times New Roman"/>
          <w:lang w:val="lv-LV"/>
        </w:rPr>
      </w:pPr>
      <w:r w:rsidRPr="00EC2884">
        <w:rPr>
          <w:rFonts w:ascii="Times New Roman" w:hAnsi="Times New Roman"/>
          <w:noProof/>
          <w:lang w:val="lv-LV"/>
        </w:rPr>
        <w:t>16.07.2025</w:t>
      </w:r>
      <w:r w:rsidRPr="00EC2884">
        <w:rPr>
          <w:rFonts w:ascii="Times New Roman" w:hAnsi="Times New Roman"/>
          <w:lang w:val="lv-LV"/>
        </w:rPr>
        <w:t xml:space="preserve">. Nr. </w:t>
      </w:r>
      <w:r w:rsidRPr="00EC2884">
        <w:rPr>
          <w:rFonts w:ascii="Times New Roman" w:hAnsi="Times New Roman"/>
          <w:noProof/>
          <w:lang w:val="lv-LV"/>
        </w:rPr>
        <w:t>LLSA-N-9/2025</w:t>
      </w:r>
      <w:r w:rsidRPr="00EC2884">
        <w:rPr>
          <w:rFonts w:ascii="Times New Roman" w:hAnsi="Times New Roman"/>
          <w:lang w:val="lv-LV"/>
        </w:rPr>
        <w:tab/>
      </w:r>
    </w:p>
    <w:p w:rsidR="00B05463" w:rsidRPr="00EC2884" w:rsidP="00B05463" w14:paraId="287BFD68" w14:textId="76F7EAF1">
      <w:pPr>
        <w:pStyle w:val="Header"/>
        <w:tabs>
          <w:tab w:val="left" w:pos="720"/>
        </w:tabs>
        <w:rPr>
          <w:rFonts w:ascii="Times New Roman" w:hAnsi="Times New Roman"/>
          <w:lang w:val="lv-LV"/>
        </w:rPr>
      </w:pPr>
      <w:r w:rsidRPr="00EC2884">
        <w:rPr>
          <w:rFonts w:ascii="Times New Roman" w:hAnsi="Times New Roman"/>
          <w:lang w:val="lv-LV"/>
        </w:rPr>
        <w:tab/>
      </w:r>
    </w:p>
    <w:p w:rsidR="00B05463" w:rsidRPr="00EC2884" w:rsidP="00B05463" w14:paraId="37B55998" w14:textId="77777777">
      <w:pPr>
        <w:spacing w:line="240" w:lineRule="auto"/>
        <w:ind w:left="142"/>
        <w:jc w:val="right"/>
        <w:rPr>
          <w:rFonts w:ascii="Times New Roman" w:hAnsi="Times New Roman"/>
          <w:b/>
          <w:lang w:val="lv-LV"/>
        </w:rPr>
      </w:pPr>
      <w:r w:rsidRPr="00EC2884">
        <w:rPr>
          <w:rFonts w:ascii="Times New Roman" w:hAnsi="Times New Roman"/>
          <w:b/>
          <w:lang w:val="lv-LV"/>
        </w:rPr>
        <w:t xml:space="preserve"> </w:t>
      </w:r>
    </w:p>
    <w:p w:rsidR="00B05463" w:rsidRPr="00EC2884" w:rsidP="00B05463" w14:paraId="433AFBC1" w14:textId="62A5B766">
      <w:pPr>
        <w:spacing w:after="0" w:line="240" w:lineRule="auto"/>
        <w:jc w:val="right"/>
        <w:rPr>
          <w:rFonts w:ascii="Times New Roman" w:hAnsi="Times New Roman"/>
          <w:b/>
          <w:lang w:val="lv-LV"/>
        </w:rPr>
      </w:pPr>
      <w:r w:rsidRPr="00EC2884">
        <w:rPr>
          <w:rFonts w:ascii="Times New Roman" w:hAnsi="Times New Roman"/>
          <w:b/>
          <w:noProof/>
          <w:lang w:val="lv-LV"/>
        </w:rPr>
        <w:t>Veselības ministrija</w:t>
      </w:r>
      <w:r>
        <w:rPr>
          <w:rFonts w:ascii="Times New Roman" w:hAnsi="Times New Roman"/>
          <w:b/>
          <w:noProof/>
          <w:lang w:val="lv-LV"/>
        </w:rPr>
        <w:t>i</w:t>
      </w:r>
    </w:p>
    <w:p w:rsidR="00B05463" w:rsidRPr="00EC2884" w:rsidP="00B05463" w14:paraId="48D8E54B" w14:textId="77777777">
      <w:pPr>
        <w:spacing w:after="0" w:line="240" w:lineRule="auto"/>
        <w:jc w:val="right"/>
        <w:rPr>
          <w:rFonts w:ascii="Times New Roman" w:hAnsi="Times New Roman"/>
          <w:lang w:val="lv-LV"/>
        </w:rPr>
      </w:pPr>
      <w:r w:rsidRPr="00EC2884">
        <w:rPr>
          <w:rFonts w:ascii="Times New Roman" w:hAnsi="Times New Roman"/>
          <w:noProof/>
          <w:lang w:val="lv-LV"/>
        </w:rPr>
        <w:t>Brīvības iela 72, Rīga, Latvija, LV1011</w:t>
      </w:r>
    </w:p>
    <w:p w:rsidR="00B05463" w:rsidRPr="00EC2884" w:rsidP="00B05463" w14:paraId="43E14157" w14:textId="77777777">
      <w:pPr>
        <w:spacing w:after="0" w:line="240" w:lineRule="auto"/>
        <w:jc w:val="right"/>
        <w:rPr>
          <w:rFonts w:ascii="Times New Roman" w:hAnsi="Times New Roman"/>
          <w:lang w:val="lv-LV"/>
        </w:rPr>
      </w:pPr>
      <w:r w:rsidRPr="00EC2884">
        <w:rPr>
          <w:rFonts w:ascii="Times New Roman" w:hAnsi="Times New Roman"/>
          <w:noProof/>
          <w:lang w:val="lv-LV"/>
        </w:rPr>
        <w:t>pasts@vm.gov.lv</w:t>
      </w:r>
      <w:r w:rsidRPr="00EC2884">
        <w:rPr>
          <w:rFonts w:ascii="Times New Roman" w:hAnsi="Times New Roman"/>
          <w:lang w:val="lv-LV"/>
        </w:rPr>
        <w:t xml:space="preserve"> </w:t>
      </w:r>
    </w:p>
    <w:p w:rsidR="00B05463" w:rsidRPr="00EC2884" w:rsidP="00B05463" w14:paraId="3394914E" w14:textId="77777777">
      <w:pPr>
        <w:spacing w:after="0" w:line="240" w:lineRule="auto"/>
        <w:jc w:val="right"/>
        <w:rPr>
          <w:rFonts w:ascii="Times New Roman" w:hAnsi="Times New Roman"/>
          <w:lang w:val="lv-LV"/>
        </w:rPr>
      </w:pPr>
      <w:r w:rsidRPr="00EC2884">
        <w:rPr>
          <w:rFonts w:ascii="Times New Roman" w:hAnsi="Times New Roman"/>
          <w:noProof/>
          <w:lang w:val="lv-LV"/>
        </w:rPr>
        <w:t>_DEFAULT@90001474921</w:t>
      </w:r>
    </w:p>
    <w:p w:rsidR="00B05463" w:rsidRPr="00EC2884" w:rsidP="00B05463" w14:paraId="659729FC" w14:textId="77777777">
      <w:pPr>
        <w:spacing w:after="0" w:line="240" w:lineRule="auto"/>
        <w:jc w:val="right"/>
        <w:rPr>
          <w:rFonts w:ascii="Times New Roman" w:hAnsi="Times New Roman"/>
          <w:lang w:val="lv-LV"/>
        </w:rPr>
      </w:pPr>
      <w:r w:rsidRPr="00EC2884">
        <w:rPr>
          <w:rFonts w:ascii="Times New Roman" w:hAnsi="Times New Roman"/>
          <w:lang w:val="lv-LV"/>
        </w:rPr>
        <w:t xml:space="preserve"> </w:t>
      </w:r>
    </w:p>
    <w:p w:rsidR="00B05463" w:rsidRPr="00EC2884" w:rsidP="00B05463" w14:paraId="7332A1C7" w14:textId="77777777">
      <w:pPr>
        <w:spacing w:after="0" w:line="240" w:lineRule="auto"/>
        <w:rPr>
          <w:rFonts w:ascii="Times New Roman" w:hAnsi="Times New Roman"/>
          <w:iCs/>
          <w:noProof/>
          <w:lang w:val="lv-LV"/>
        </w:rPr>
      </w:pPr>
      <w:bookmarkStart w:id="0" w:name="_Hlk505798417"/>
    </w:p>
    <w:bookmarkEnd w:id="0"/>
    <w:p w:rsidR="003D7705" w:rsidP="003D7705" w14:paraId="7845DD5B" w14:textId="77777777">
      <w:pPr>
        <w:tabs>
          <w:tab w:val="left" w:pos="4536"/>
        </w:tabs>
        <w:spacing w:after="0" w:line="240" w:lineRule="auto"/>
        <w:jc w:val="both"/>
        <w:rPr>
          <w:rFonts w:ascii="Times New Roman" w:hAnsi="Times New Roman"/>
          <w:i/>
          <w:noProof/>
          <w:lang w:val="lv-LV"/>
        </w:rPr>
      </w:pPr>
      <w:r w:rsidRPr="00EC2884">
        <w:rPr>
          <w:rFonts w:ascii="Times New Roman" w:hAnsi="Times New Roman"/>
          <w:i/>
          <w:noProof/>
          <w:lang w:val="lv-LV"/>
        </w:rPr>
        <w:t xml:space="preserve">Grozījumi Ministru kabineta 2024. gada 13. augusta </w:t>
      </w:r>
    </w:p>
    <w:p w:rsidR="003D7705" w:rsidP="003D7705" w14:paraId="4B841455" w14:textId="77777777">
      <w:pPr>
        <w:tabs>
          <w:tab w:val="left" w:pos="4536"/>
        </w:tabs>
        <w:spacing w:after="0" w:line="240" w:lineRule="auto"/>
        <w:jc w:val="both"/>
        <w:rPr>
          <w:rFonts w:ascii="Times New Roman" w:hAnsi="Times New Roman"/>
          <w:i/>
          <w:noProof/>
          <w:lang w:val="lv-LV"/>
        </w:rPr>
      </w:pPr>
      <w:r w:rsidRPr="00EC2884">
        <w:rPr>
          <w:rFonts w:ascii="Times New Roman" w:hAnsi="Times New Roman"/>
          <w:i/>
          <w:noProof/>
          <w:lang w:val="lv-LV"/>
        </w:rPr>
        <w:t xml:space="preserve">noteikumos Nr. 543 "Metodiskās vadības institūcijas </w:t>
      </w:r>
    </w:p>
    <w:p w:rsidR="00B05463" w:rsidRPr="00EC2884" w:rsidP="003D7705" w14:paraId="78754B72" w14:textId="2B49DBDA">
      <w:pPr>
        <w:tabs>
          <w:tab w:val="left" w:pos="4536"/>
        </w:tabs>
        <w:spacing w:after="0" w:line="240" w:lineRule="auto"/>
        <w:jc w:val="both"/>
        <w:rPr>
          <w:rFonts w:ascii="Times New Roman" w:hAnsi="Times New Roman"/>
          <w:i/>
          <w:lang w:val="lv-LV"/>
        </w:rPr>
      </w:pPr>
      <w:r w:rsidRPr="00EC2884">
        <w:rPr>
          <w:rFonts w:ascii="Times New Roman" w:hAnsi="Times New Roman"/>
          <w:i/>
          <w:noProof/>
          <w:lang w:val="lv-LV"/>
        </w:rPr>
        <w:t>noteikumi" (25-TA-1199)</w:t>
      </w:r>
      <w:r w:rsidRPr="00EC2884">
        <w:rPr>
          <w:rFonts w:ascii="Times New Roman" w:hAnsi="Times New Roman"/>
          <w:i/>
          <w:lang w:val="lv-LV"/>
        </w:rPr>
        <w:tab/>
      </w:r>
    </w:p>
    <w:p w:rsidR="00B05463" w:rsidP="00B05463" w14:paraId="46DC53DE" w14:textId="77777777">
      <w:pPr>
        <w:spacing w:line="240" w:lineRule="auto"/>
        <w:rPr>
          <w:rFonts w:ascii="Times New Roman" w:hAnsi="Times New Roman"/>
          <w:iCs/>
          <w:lang w:val="lv-LV"/>
        </w:rPr>
      </w:pPr>
    </w:p>
    <w:p w:rsidR="00D90558" w:rsidRPr="00586C9D" w:rsidP="00D90558" w14:paraId="2645AE3D" w14:textId="77777777">
      <w:pPr>
        <w:spacing w:line="240" w:lineRule="auto"/>
        <w:ind w:firstLine="567"/>
        <w:jc w:val="both"/>
        <w:rPr>
          <w:rFonts w:ascii="Times New Roman" w:hAnsi="Times New Roman"/>
          <w:iCs/>
          <w:lang w:val="lv-LV"/>
        </w:rPr>
      </w:pPr>
      <w:r w:rsidRPr="00586C9D">
        <w:rPr>
          <w:rFonts w:ascii="Times New Roman" w:hAnsi="Times New Roman"/>
          <w:iCs/>
          <w:lang w:val="lv-LV"/>
        </w:rPr>
        <w:t>Biedrība “Latvijas Lielo slimnīcu asociācija” ir izskatījusi Veselības ministrijas izstrādāto Ministru kabineta noteikumu projektu</w:t>
      </w:r>
      <w:r w:rsidRPr="00586C9D">
        <w:rPr>
          <w:rFonts w:ascii="Times New Roman" w:hAnsi="Times New Roman" w:cs="Times New Roman"/>
          <w:iCs/>
          <w:lang w:val="lv-LV"/>
        </w:rPr>
        <w:t xml:space="preserve"> “</w:t>
      </w:r>
      <w:r w:rsidRPr="00586C9D">
        <w:rPr>
          <w:rFonts w:ascii="Times New Roman" w:hAnsi="Times New Roman" w:cs="Times New Roman"/>
          <w:shd w:val="clear" w:color="auto" w:fill="FFFFFF"/>
          <w:lang w:val="lv-LV"/>
        </w:rPr>
        <w:t>Grozījumi Ministru kabineta 2024. gada 13. augusta noteikumos Nr. 543 Metodiskās vadības institūcijas noteikumi”</w:t>
      </w:r>
      <w:r w:rsidRPr="00586C9D">
        <w:rPr>
          <w:rFonts w:ascii="Times New Roman" w:hAnsi="Times New Roman" w:cs="Times New Roman"/>
          <w:iCs/>
          <w:lang w:val="lv-LV"/>
        </w:rPr>
        <w:t>”</w:t>
      </w:r>
      <w:r>
        <w:rPr>
          <w:rFonts w:ascii="Times New Roman" w:hAnsi="Times New Roman" w:cs="Times New Roman"/>
          <w:iCs/>
          <w:lang w:val="lv-LV"/>
        </w:rPr>
        <w:t xml:space="preserve"> (25-TA-1199)</w:t>
      </w:r>
      <w:r>
        <w:rPr>
          <w:rStyle w:val="FootnoteReference"/>
          <w:rFonts w:ascii="Times New Roman" w:hAnsi="Times New Roman" w:cs="Times New Roman"/>
          <w:iCs/>
          <w:lang w:val="lv-LV"/>
        </w:rPr>
        <w:footnoteReference w:id="2"/>
      </w:r>
      <w:r>
        <w:rPr>
          <w:rFonts w:ascii="Times New Roman" w:hAnsi="Times New Roman" w:cs="Times New Roman"/>
          <w:iCs/>
          <w:lang w:val="lv-LV"/>
        </w:rPr>
        <w:t xml:space="preserve"> (turpmāk – Noteikumu projekts) un </w:t>
      </w:r>
      <w:r w:rsidRPr="003A0BD9">
        <w:rPr>
          <w:rFonts w:ascii="Times New Roman" w:hAnsi="Times New Roman" w:cs="Times New Roman"/>
          <w:b/>
          <w:bCs/>
          <w:iCs/>
          <w:lang w:val="lv-LV"/>
        </w:rPr>
        <w:t>neatbalsta</w:t>
      </w:r>
      <w:r>
        <w:rPr>
          <w:rFonts w:ascii="Times New Roman" w:hAnsi="Times New Roman" w:cs="Times New Roman"/>
          <w:iCs/>
          <w:lang w:val="lv-LV"/>
        </w:rPr>
        <w:t xml:space="preserve"> turpmāku Noteikumu virzību. </w:t>
      </w:r>
    </w:p>
    <w:p w:rsidR="00D90558" w:rsidRPr="003A56E4" w:rsidP="00D90558" w14:paraId="5A3A2E4E" w14:textId="77777777">
      <w:pPr>
        <w:pStyle w:val="NormalWeb"/>
        <w:ind w:firstLine="567"/>
        <w:jc w:val="both"/>
        <w:rPr>
          <w:sz w:val="22"/>
          <w:szCs w:val="22"/>
        </w:rPr>
      </w:pPr>
      <w:r w:rsidRPr="003A56E4">
        <w:rPr>
          <w:sz w:val="22"/>
          <w:szCs w:val="22"/>
        </w:rPr>
        <w:t xml:space="preserve">Klīniskajām universitātes slimnīcām ir unikāla pozīcija Latvijas veselības aprūpes sistēmā. Tās ir integrēti </w:t>
      </w:r>
      <w:r>
        <w:rPr>
          <w:sz w:val="22"/>
          <w:szCs w:val="22"/>
        </w:rPr>
        <w:t xml:space="preserve">metodiskās vadības </w:t>
      </w:r>
      <w:r w:rsidRPr="003A56E4">
        <w:rPr>
          <w:sz w:val="22"/>
          <w:szCs w:val="22"/>
        </w:rPr>
        <w:t>centri, kas nodrošina progresīvu klīnisko aprūpi, medicīnisko izglītību (</w:t>
      </w:r>
      <w:r w:rsidRPr="003A56E4">
        <w:rPr>
          <w:sz w:val="22"/>
          <w:szCs w:val="22"/>
        </w:rPr>
        <w:t>pirmsdiploma</w:t>
      </w:r>
      <w:r w:rsidRPr="003A56E4">
        <w:rPr>
          <w:sz w:val="22"/>
          <w:szCs w:val="22"/>
        </w:rPr>
        <w:t>, rezidentūras un tālākizglītības programmas) un progresīvus pētījumus. Klīniskās universitātes slimnīcas būtiski veicina inovāciju, zināšanu pārnesi un specializēto veselības aprūpes pakalpojumu vispārējo kvalitāti un pieejamību visā valstī. Ir būtiski, lai metodiskās vadības centra regulējums saglabātu un stiprinātu šo pamata lomu.</w:t>
      </w:r>
      <w:r w:rsidRPr="00332A25">
        <w:t xml:space="preserve"> </w:t>
      </w:r>
      <w:r w:rsidRPr="005F2CEE">
        <w:rPr>
          <w:sz w:val="22"/>
          <w:szCs w:val="22"/>
        </w:rPr>
        <w:t xml:space="preserve">Metodiskās vadības centri primāri arī veidoti ārstniecības iestāžu vidē – praktiskajai videi un klīniskās universitātes slimnīcas nepilda metodiskās vadības centra funkciju tikai izņēmuma gadījumos, kur pretī nav viena </w:t>
      </w:r>
      <w:r w:rsidRPr="005F2CEE">
        <w:rPr>
          <w:sz w:val="22"/>
          <w:szCs w:val="22"/>
        </w:rPr>
        <w:t>integrētra</w:t>
      </w:r>
      <w:r w:rsidRPr="005F2CEE">
        <w:rPr>
          <w:sz w:val="22"/>
          <w:szCs w:val="22"/>
        </w:rPr>
        <w:t xml:space="preserve"> pakalpojumu sniedzēja (piemēram, ģimenes ārstu aprūpe).</w:t>
      </w:r>
    </w:p>
    <w:p w:rsidR="00D90558" w:rsidRPr="00C5156F" w:rsidP="00D90558" w14:paraId="050F3F81" w14:textId="77777777">
      <w:pPr>
        <w:pStyle w:val="NormalWeb"/>
        <w:ind w:firstLine="567"/>
        <w:jc w:val="both"/>
        <w:rPr>
          <w:sz w:val="22"/>
          <w:szCs w:val="22"/>
        </w:rPr>
      </w:pPr>
      <w:r>
        <w:rPr>
          <w:sz w:val="22"/>
          <w:szCs w:val="22"/>
        </w:rPr>
        <w:t xml:space="preserve">Šobrīd </w:t>
      </w:r>
      <w:r w:rsidRPr="00C5156F">
        <w:rPr>
          <w:sz w:val="22"/>
          <w:szCs w:val="22"/>
        </w:rPr>
        <w:t>Noteikumu</w:t>
      </w:r>
      <w:r>
        <w:rPr>
          <w:sz w:val="22"/>
          <w:szCs w:val="22"/>
        </w:rPr>
        <w:t xml:space="preserve"> projekta</w:t>
      </w:r>
      <w:r w:rsidRPr="00C5156F">
        <w:rPr>
          <w:sz w:val="22"/>
          <w:szCs w:val="22"/>
        </w:rPr>
        <w:t xml:space="preserve"> 4.2. punkta </w:t>
      </w:r>
      <w:r>
        <w:rPr>
          <w:sz w:val="22"/>
          <w:szCs w:val="22"/>
        </w:rPr>
        <w:t>“</w:t>
      </w:r>
      <w:r w:rsidRPr="00C5156F">
        <w:rPr>
          <w:sz w:val="22"/>
          <w:szCs w:val="22"/>
        </w:rPr>
        <w:t>vienādo punktu</w:t>
      </w:r>
      <w:r>
        <w:rPr>
          <w:sz w:val="22"/>
          <w:szCs w:val="22"/>
        </w:rPr>
        <w:t>”</w:t>
      </w:r>
      <w:r w:rsidRPr="00C5156F">
        <w:rPr>
          <w:sz w:val="22"/>
          <w:szCs w:val="22"/>
        </w:rPr>
        <w:t xml:space="preserve"> klauzula, kas piešķir </w:t>
      </w:r>
      <w:r>
        <w:rPr>
          <w:sz w:val="22"/>
          <w:szCs w:val="22"/>
        </w:rPr>
        <w:t xml:space="preserve">Veselības </w:t>
      </w:r>
      <w:r w:rsidRPr="00C5156F">
        <w:rPr>
          <w:sz w:val="22"/>
          <w:szCs w:val="22"/>
        </w:rPr>
        <w:t xml:space="preserve">ministrijai rīcības brīvību piedāvāt metodiskās vadības statusu augstākās izglītības iestādei vienādu punktu gadījumā, rada netaisnīgu un potenciāli neproduktīvu aizspriedumu pret </w:t>
      </w:r>
      <w:r>
        <w:rPr>
          <w:sz w:val="22"/>
          <w:szCs w:val="22"/>
        </w:rPr>
        <w:t>ārstniecības</w:t>
      </w:r>
      <w:r w:rsidRPr="00C5156F">
        <w:rPr>
          <w:sz w:val="22"/>
          <w:szCs w:val="22"/>
        </w:rPr>
        <w:t xml:space="preserve"> iestādēm, tostarp</w:t>
      </w:r>
      <w:r>
        <w:rPr>
          <w:sz w:val="22"/>
          <w:szCs w:val="22"/>
        </w:rPr>
        <w:t>,</w:t>
      </w:r>
      <w:r w:rsidRPr="00C5156F">
        <w:rPr>
          <w:sz w:val="22"/>
          <w:szCs w:val="22"/>
        </w:rPr>
        <w:t xml:space="preserve"> klīniskajām universitātes slimnīcām, kuras bieži vien apvieno gan klīnisko, gan akadēmisko izcilību. Šī klauzula var </w:t>
      </w:r>
      <w:r>
        <w:rPr>
          <w:sz w:val="22"/>
          <w:szCs w:val="22"/>
        </w:rPr>
        <w:t>klīniskās universitātes slimnīcas</w:t>
      </w:r>
      <w:r w:rsidRPr="00C5156F">
        <w:rPr>
          <w:sz w:val="22"/>
          <w:szCs w:val="22"/>
        </w:rPr>
        <w:t xml:space="preserve"> nelabvēlīgi ietekmēt vienādu punktu gadījumā, neskatoties uz to </w:t>
      </w:r>
      <w:r>
        <w:rPr>
          <w:sz w:val="22"/>
          <w:szCs w:val="22"/>
        </w:rPr>
        <w:t>faktiskajām</w:t>
      </w:r>
      <w:r w:rsidRPr="00C5156F">
        <w:rPr>
          <w:sz w:val="22"/>
          <w:szCs w:val="22"/>
        </w:rPr>
        <w:t xml:space="preserve"> spējām un tiešo klīnisko atbilstību metodiskajai vadībai. Tas norāda uz hierarhisku preferenci, kas var neatspoguļot ekspertīzes un infrastruktūras praktisko realitāti.</w:t>
      </w:r>
    </w:p>
    <w:p w:rsidR="00D90558" w:rsidRPr="00C5156F" w:rsidP="00D90558" w14:paraId="3503F12F" w14:textId="77777777">
      <w:pPr>
        <w:pStyle w:val="NormalWeb"/>
        <w:ind w:firstLine="567"/>
        <w:jc w:val="both"/>
        <w:rPr>
          <w:sz w:val="22"/>
          <w:szCs w:val="22"/>
        </w:rPr>
      </w:pPr>
      <w:r w:rsidRPr="00C5156F">
        <w:rPr>
          <w:sz w:val="22"/>
          <w:szCs w:val="22"/>
        </w:rPr>
        <w:t>Skaidrā priekšroka augstākās izglītības iestādēm vienādu punktu gadījumā (</w:t>
      </w:r>
      <w:r>
        <w:rPr>
          <w:sz w:val="22"/>
          <w:szCs w:val="22"/>
        </w:rPr>
        <w:t xml:space="preserve">Noteikumu projekts </w:t>
      </w:r>
      <w:r w:rsidRPr="00C5156F">
        <w:rPr>
          <w:sz w:val="22"/>
          <w:szCs w:val="22"/>
        </w:rPr>
        <w:t xml:space="preserve">4.2. punkts) rada mākslīgu atšķirību, kas nespēj atzīt </w:t>
      </w:r>
      <w:r w:rsidRPr="00BA4C90">
        <w:rPr>
          <w:b/>
          <w:bCs/>
          <w:sz w:val="22"/>
          <w:szCs w:val="22"/>
        </w:rPr>
        <w:t>klīnisko universitātes slimnīcu integrēto dabu, kuras pēc būtības ir gan klīniskie, gan akadēmiskie centri</w:t>
      </w:r>
      <w:r w:rsidRPr="00C5156F">
        <w:rPr>
          <w:sz w:val="22"/>
          <w:szCs w:val="22"/>
        </w:rPr>
        <w:t>. Tas var novest pie tā, ka klīniskās</w:t>
      </w:r>
      <w:r>
        <w:rPr>
          <w:sz w:val="22"/>
          <w:szCs w:val="22"/>
        </w:rPr>
        <w:t xml:space="preserve"> universitātes</w:t>
      </w:r>
      <w:r w:rsidRPr="00C5156F">
        <w:rPr>
          <w:sz w:val="22"/>
          <w:szCs w:val="22"/>
        </w:rPr>
        <w:t xml:space="preserve"> </w:t>
      </w:r>
      <w:r>
        <w:rPr>
          <w:sz w:val="22"/>
          <w:szCs w:val="22"/>
        </w:rPr>
        <w:t>slimnīcas</w:t>
      </w:r>
      <w:r w:rsidRPr="00C5156F">
        <w:rPr>
          <w:sz w:val="22"/>
          <w:szCs w:val="22"/>
        </w:rPr>
        <w:t xml:space="preserve"> tiek ignorētas, neskatoties uz to </w:t>
      </w:r>
      <w:r>
        <w:rPr>
          <w:sz w:val="22"/>
          <w:szCs w:val="22"/>
        </w:rPr>
        <w:t>klīniskajām</w:t>
      </w:r>
      <w:r w:rsidRPr="00C5156F">
        <w:rPr>
          <w:sz w:val="22"/>
          <w:szCs w:val="22"/>
        </w:rPr>
        <w:t xml:space="preserve"> spējām. </w:t>
      </w:r>
    </w:p>
    <w:p w:rsidR="00D90558" w:rsidRPr="00C5156F" w:rsidP="00D90558" w14:paraId="73487030" w14:textId="77777777">
      <w:pPr>
        <w:pStyle w:val="NormalWeb"/>
        <w:ind w:firstLine="567"/>
        <w:jc w:val="both"/>
        <w:rPr>
          <w:sz w:val="22"/>
          <w:szCs w:val="22"/>
        </w:rPr>
      </w:pPr>
      <w:r w:rsidRPr="00C5156F">
        <w:rPr>
          <w:sz w:val="22"/>
          <w:szCs w:val="22"/>
        </w:rPr>
        <w:t xml:space="preserve">Šī strukturālā priekšroka var netīši novest pie atvienojuma starp teorētisko metodisko attīstību (ko veic augstākās izglītības iestādes) un praktisko klīnisko pielietojumu (ko veic </w:t>
      </w:r>
      <w:r>
        <w:rPr>
          <w:sz w:val="22"/>
          <w:szCs w:val="22"/>
        </w:rPr>
        <w:t>ārstniecības</w:t>
      </w:r>
      <w:r w:rsidRPr="00C5156F">
        <w:rPr>
          <w:sz w:val="22"/>
          <w:szCs w:val="22"/>
        </w:rPr>
        <w:t xml:space="preserve"> iestādes), </w:t>
      </w:r>
      <w:r w:rsidRPr="00C5156F">
        <w:rPr>
          <w:sz w:val="22"/>
          <w:szCs w:val="22"/>
        </w:rPr>
        <w:t xml:space="preserve">potenciāli </w:t>
      </w:r>
      <w:r w:rsidRPr="00471A0B">
        <w:rPr>
          <w:b/>
          <w:bCs/>
          <w:sz w:val="22"/>
          <w:szCs w:val="22"/>
        </w:rPr>
        <w:t xml:space="preserve">kavējot jaunu metodoloģiju efektīvu ieviešanu </w:t>
      </w:r>
      <w:r>
        <w:rPr>
          <w:b/>
          <w:bCs/>
          <w:sz w:val="22"/>
          <w:szCs w:val="22"/>
        </w:rPr>
        <w:t>citās</w:t>
      </w:r>
      <w:r w:rsidRPr="00471A0B">
        <w:rPr>
          <w:b/>
          <w:bCs/>
          <w:sz w:val="22"/>
          <w:szCs w:val="22"/>
        </w:rPr>
        <w:t xml:space="preserve"> veselības aprūpes iestādēs</w:t>
      </w:r>
      <w:r w:rsidRPr="00C5156F">
        <w:rPr>
          <w:sz w:val="22"/>
          <w:szCs w:val="22"/>
        </w:rPr>
        <w:t xml:space="preserve">. Ja augstākās izglītības iestādes tiek sistemātiski atbalstītas, pat vienādu punktu gadījumā, tas norāda, ka akadēmiskā vadība tiek </w:t>
      </w:r>
      <w:r w:rsidRPr="00C5156F">
        <w:rPr>
          <w:sz w:val="22"/>
          <w:szCs w:val="22"/>
        </w:rPr>
        <w:t>prioritizēta</w:t>
      </w:r>
      <w:r w:rsidRPr="00C5156F">
        <w:rPr>
          <w:sz w:val="22"/>
          <w:szCs w:val="22"/>
        </w:rPr>
        <w:t xml:space="preserve"> pār klīnisko vadību metodiskajā vadībā. Efektīva metodiskā vadība prasa dziļu izpratni gan par teorētiskajiem principiem, gan par praktiskajām klīniskajām realitātēm, tostarp infrastruktūru, pacientu plūsmu, resursu ierobežojumiem un ieviešanas izaicinājumiem. Ja metodiskās vadības funkcija kļūst pārāk akadēmiska un mazāk balstīta uz tiešu klīnisko praksi, rezultātā izstrādātās metodoloģijas var būt mazāk praktiskas, grūtāk ieviešamas vai mazāk atbilstošas ikdienas problēmām, ar kurām saskaras </w:t>
      </w:r>
      <w:r>
        <w:rPr>
          <w:sz w:val="22"/>
          <w:szCs w:val="22"/>
        </w:rPr>
        <w:t>ārstniecības</w:t>
      </w:r>
      <w:r w:rsidRPr="00C5156F">
        <w:rPr>
          <w:sz w:val="22"/>
          <w:szCs w:val="22"/>
        </w:rPr>
        <w:t xml:space="preserve"> iestādes. Tas var novest pie klīniskās ekspertīzes aizplūšanas no metodiskās vadības lomām vai radīt priekšstatu, ka klīniskā pieredze ir sekundāra, galu galā graujot jaunu metodoloģiju lietderību un pieņemšanu.</w:t>
      </w:r>
    </w:p>
    <w:p w:rsidR="00D90558" w:rsidP="00D90558" w14:paraId="3D04D2A8" w14:textId="77777777">
      <w:pPr>
        <w:spacing w:after="0" w:line="240" w:lineRule="auto"/>
        <w:ind w:firstLine="567"/>
        <w:jc w:val="both"/>
        <w:rPr>
          <w:rFonts w:ascii="Times New Roman" w:hAnsi="Times New Roman" w:cs="Times New Roman"/>
          <w:lang w:val="lv-LV"/>
        </w:rPr>
      </w:pPr>
      <w:r w:rsidRPr="002702F8">
        <w:rPr>
          <w:rFonts w:ascii="Times New Roman" w:hAnsi="Times New Roman" w:cs="Times New Roman"/>
          <w:lang w:val="lv-LV"/>
        </w:rPr>
        <w:t>Kopumā klīniskās universitātes slimnīcas lūdz Noteikumu</w:t>
      </w:r>
      <w:r>
        <w:rPr>
          <w:rFonts w:ascii="Times New Roman" w:hAnsi="Times New Roman" w:cs="Times New Roman"/>
          <w:lang w:val="lv-LV"/>
        </w:rPr>
        <w:t xml:space="preserve"> projektu</w:t>
      </w:r>
      <w:r w:rsidRPr="002702F8">
        <w:rPr>
          <w:rFonts w:ascii="Times New Roman" w:hAnsi="Times New Roman" w:cs="Times New Roman"/>
          <w:lang w:val="lv-LV"/>
        </w:rPr>
        <w:t xml:space="preserve"> precizēt un svītrot skaidru priekšroku augstākās izglītības iestādēm “vienādo punktu” klauzulā. Tā vietā, ja rodas vienāds punktu skaits</w:t>
      </w:r>
      <w:r>
        <w:rPr>
          <w:rFonts w:ascii="Times New Roman" w:hAnsi="Times New Roman" w:cs="Times New Roman"/>
          <w:lang w:val="lv-LV"/>
        </w:rPr>
        <w:t>.</w:t>
      </w:r>
      <w:r w:rsidRPr="002702F8">
        <w:rPr>
          <w:rFonts w:ascii="Times New Roman" w:hAnsi="Times New Roman" w:cs="Times New Roman"/>
          <w:lang w:val="lv-LV"/>
        </w:rPr>
        <w:t xml:space="preserve"> Veselības ministrijai jāveic sekundārs, kvalitatīvs novērtējums, koncentrējoties uz iestādes demonstrēto spēju praktiskai metodiskajai vadībai, inovācijām un tiešu ietekmi uz klīniskajiem rezultātiem, neatkarīgi no tās primārās juridiskās klasifikācijas (ārstniecības iestāde vai augstākās izglītības iestāde).</w:t>
      </w:r>
    </w:p>
    <w:p w:rsidR="00D90558" w:rsidRPr="00F203EB" w:rsidP="00D90558" w14:paraId="7D123C30" w14:textId="77777777">
      <w:pPr>
        <w:spacing w:after="0" w:line="240" w:lineRule="auto"/>
        <w:ind w:firstLine="567"/>
        <w:jc w:val="both"/>
        <w:rPr>
          <w:rFonts w:ascii="Times New Roman" w:hAnsi="Times New Roman" w:cs="Times New Roman"/>
          <w:lang w:val="lv-LV"/>
        </w:rPr>
      </w:pPr>
    </w:p>
    <w:p w:rsidR="00D90558" w:rsidRPr="0086137A" w:rsidP="00D90558" w14:paraId="3F9BF061" w14:textId="77777777">
      <w:pPr>
        <w:spacing w:after="0" w:line="240" w:lineRule="auto"/>
        <w:ind w:firstLine="567"/>
        <w:jc w:val="both"/>
        <w:rPr>
          <w:rFonts w:ascii="Times New Roman" w:hAnsi="Times New Roman" w:cs="Times New Roman"/>
          <w:lang w:val="lv-LV"/>
        </w:rPr>
      </w:pPr>
      <w:r w:rsidRPr="0086137A">
        <w:rPr>
          <w:rFonts w:ascii="Times New Roman" w:eastAsia="Times New Roman" w:hAnsi="Times New Roman" w:cs="Times New Roman"/>
          <w:color w:val="000000"/>
          <w:lang w:val="lv-LV" w:eastAsia="lv-LV"/>
        </w:rPr>
        <w:t>Veselības ministrija tiek aicināta iesaistīties turpmākās konsultācijās ar galvenajām ieinteresētajām pusēm, tostarp</w:t>
      </w:r>
      <w:r>
        <w:rPr>
          <w:rFonts w:ascii="Times New Roman" w:eastAsia="Times New Roman" w:hAnsi="Times New Roman" w:cs="Times New Roman"/>
          <w:color w:val="000000"/>
          <w:lang w:val="lv-LV" w:eastAsia="lv-LV"/>
        </w:rPr>
        <w:t>,</w:t>
      </w:r>
      <w:r w:rsidRPr="0086137A">
        <w:rPr>
          <w:rFonts w:ascii="Times New Roman" w:eastAsia="Times New Roman" w:hAnsi="Times New Roman" w:cs="Times New Roman"/>
          <w:color w:val="000000"/>
          <w:lang w:val="lv-LV" w:eastAsia="lv-LV"/>
        </w:rPr>
        <w:t xml:space="preserve"> klīniskajām universitātes slimnīcām, lai pārskatītu ierosinātos Noteikumu grozījumus un nodrošinātu, ka tie ir pārredzami, taisnīgi un patiesi atbalsta stabilu un augstas kvalitātes veselības aprūpes sistēmu.</w:t>
      </w:r>
    </w:p>
    <w:p w:rsidR="005F31C5" w:rsidRPr="00BC243C" w:rsidP="00B05463" w14:paraId="53060F5F" w14:textId="44EAECE5">
      <w:pPr>
        <w:spacing w:after="0" w:line="240" w:lineRule="auto"/>
        <w:jc w:val="both"/>
        <w:rPr>
          <w:rFonts w:ascii="Times New Roman" w:hAnsi="Times New Roman" w:cs="Times New Roman"/>
          <w:sz w:val="24"/>
          <w:szCs w:val="24"/>
          <w:lang w:val="lv-LV"/>
        </w:rPr>
      </w:pPr>
    </w:p>
    <w:tbl>
      <w:tblPr>
        <w:tblW w:w="5000" w:type="pct"/>
        <w:tblLook w:val="04A0"/>
      </w:tblPr>
      <w:tblGrid>
        <w:gridCol w:w="4153"/>
        <w:gridCol w:w="1665"/>
        <w:gridCol w:w="3542"/>
      </w:tblGrid>
      <w:tr w14:paraId="1FBF5D08" w14:textId="77777777" w:rsidTr="00195E00">
        <w:tblPrEx>
          <w:tblW w:w="5000" w:type="pct"/>
          <w:tblLook w:val="04A0"/>
        </w:tblPrEx>
        <w:tc>
          <w:tcPr>
            <w:tcW w:w="2218" w:type="pct"/>
            <w:shd w:val="clear" w:color="auto" w:fill="auto"/>
          </w:tcPr>
          <w:p w:rsidR="00B05463" w:rsidRPr="00EC2884" w:rsidP="00B05463" w14:paraId="78E087D1" w14:textId="77777777">
            <w:pPr>
              <w:spacing w:line="240" w:lineRule="auto"/>
              <w:jc w:val="both"/>
              <w:rPr>
                <w:rFonts w:ascii="Times New Roman" w:hAnsi="Times New Roman"/>
                <w:lang w:val="lv-LV"/>
              </w:rPr>
            </w:pPr>
            <w:r w:rsidRPr="00EC2884">
              <w:rPr>
                <w:rFonts w:ascii="Times New Roman" w:hAnsi="Times New Roman"/>
                <w:noProof/>
                <w:lang w:val="lv-LV"/>
              </w:rPr>
              <w:t>Valdes priekšsēdētājs</w:t>
            </w:r>
          </w:p>
        </w:tc>
        <w:tc>
          <w:tcPr>
            <w:tcW w:w="889" w:type="pct"/>
          </w:tcPr>
          <w:p w:rsidR="00B05463" w:rsidRPr="00EC2884" w:rsidP="00B05463" w14:paraId="58C75A21" w14:textId="77777777">
            <w:pPr>
              <w:spacing w:line="240" w:lineRule="auto"/>
              <w:jc w:val="center"/>
              <w:rPr>
                <w:rFonts w:ascii="Times New Roman" w:hAnsi="Times New Roman"/>
                <w:lang w:val="lv-LV"/>
              </w:rPr>
            </w:pPr>
            <w:r w:rsidRPr="00EC2884">
              <w:rPr>
                <w:rFonts w:ascii="Times New Roman" w:hAnsi="Times New Roman"/>
                <w:lang w:val="lv-LV"/>
              </w:rPr>
              <w:t>(*paraksts)</w:t>
            </w:r>
          </w:p>
        </w:tc>
        <w:tc>
          <w:tcPr>
            <w:tcW w:w="1892" w:type="pct"/>
            <w:shd w:val="clear" w:color="auto" w:fill="auto"/>
          </w:tcPr>
          <w:p w:rsidR="00B05463" w:rsidRPr="00EC2884" w:rsidP="00B05463" w14:paraId="72D991E8" w14:textId="77777777">
            <w:pPr>
              <w:spacing w:line="240" w:lineRule="auto"/>
              <w:jc w:val="right"/>
              <w:rPr>
                <w:rFonts w:ascii="Times New Roman" w:hAnsi="Times New Roman"/>
                <w:lang w:val="lv-LV"/>
              </w:rPr>
            </w:pPr>
            <w:r w:rsidRPr="00EC2884">
              <w:rPr>
                <w:rFonts w:ascii="Times New Roman" w:hAnsi="Times New Roman"/>
                <w:noProof/>
                <w:lang w:val="lv-LV"/>
              </w:rPr>
              <w:t>Valts Ābols</w:t>
            </w:r>
          </w:p>
        </w:tc>
      </w:tr>
    </w:tbl>
    <w:p w:rsidR="00B05463" w:rsidRPr="00EC2884" w:rsidP="00B05463" w14:paraId="0B60B72E" w14:textId="77777777">
      <w:pPr>
        <w:spacing w:line="240" w:lineRule="auto"/>
        <w:jc w:val="both"/>
        <w:rPr>
          <w:rFonts w:ascii="Times New Roman" w:hAnsi="Times New Roman"/>
          <w:lang w:val="lv-LV"/>
        </w:rPr>
      </w:pPr>
    </w:p>
    <w:p w:rsidR="00B05463" w:rsidRPr="00EC2884" w:rsidP="00B05463" w14:paraId="186006D4" w14:textId="77777777">
      <w:pPr>
        <w:spacing w:line="240" w:lineRule="auto"/>
        <w:jc w:val="both"/>
        <w:rPr>
          <w:rFonts w:ascii="Times New Roman" w:hAnsi="Times New Roman"/>
          <w:lang w:val="lv-LV"/>
        </w:rPr>
      </w:pPr>
    </w:p>
    <w:p w:rsidR="00B05463" w:rsidRPr="00EC2884" w:rsidP="00B05463" w14:paraId="14DBCD9B" w14:textId="191F65F7">
      <w:pPr>
        <w:spacing w:after="0" w:line="240" w:lineRule="auto"/>
        <w:rPr>
          <w:rFonts w:ascii="Times New Roman" w:hAnsi="Times New Roman"/>
          <w:sz w:val="18"/>
          <w:szCs w:val="18"/>
          <w:lang w:val="lv-LV"/>
        </w:rPr>
      </w:pPr>
      <w:r w:rsidRPr="00EC2884">
        <w:rPr>
          <w:rFonts w:ascii="Times New Roman" w:hAnsi="Times New Roman"/>
          <w:noProof/>
          <w:sz w:val="18"/>
          <w:szCs w:val="18"/>
          <w:lang w:val="lv-LV"/>
        </w:rPr>
        <w:t>Signe Koritko</w:t>
      </w:r>
      <w:r>
        <w:rPr>
          <w:rFonts w:ascii="Times New Roman" w:hAnsi="Times New Roman"/>
          <w:noProof/>
          <w:sz w:val="18"/>
          <w:szCs w:val="18"/>
          <w:lang w:val="lv-LV"/>
        </w:rPr>
        <w:t>, 26810692</w:t>
      </w:r>
    </w:p>
    <w:p w:rsidR="00B05463" w:rsidRPr="00EC2884" w:rsidP="00B05463" w14:paraId="4F6B6A15" w14:textId="12B82D6F">
      <w:pPr>
        <w:spacing w:after="0" w:line="240" w:lineRule="auto"/>
        <w:rPr>
          <w:rFonts w:ascii="Times New Roman" w:hAnsi="Times New Roman"/>
          <w:lang w:val="lv-LV"/>
        </w:rPr>
      </w:pPr>
      <w:hyperlink r:id="rId6" w:history="1">
        <w:r w:rsidRPr="007B4FE6">
          <w:rPr>
            <w:rStyle w:val="Hyperlink"/>
            <w:rFonts w:ascii="Times New Roman" w:hAnsi="Times New Roman"/>
            <w:noProof/>
            <w:sz w:val="18"/>
            <w:szCs w:val="18"/>
            <w:lang w:val="lv-LV"/>
          </w:rPr>
          <w:t>signe.koritko@llsa.eu</w:t>
        </w:r>
      </w:hyperlink>
      <w:r>
        <w:rPr>
          <w:rFonts w:ascii="Times New Roman" w:hAnsi="Times New Roman"/>
          <w:noProof/>
          <w:sz w:val="18"/>
          <w:szCs w:val="18"/>
          <w:lang w:val="lv-LV"/>
        </w:rPr>
        <w:t xml:space="preserve"> </w:t>
      </w:r>
      <w:r w:rsidRPr="00EC2884">
        <w:rPr>
          <w:rFonts w:ascii="Times New Roman" w:hAnsi="Times New Roman"/>
          <w:lang w:val="lv-LV"/>
        </w:rPr>
        <w:t xml:space="preserve"> </w:t>
      </w:r>
    </w:p>
    <w:p w:rsidR="00B05463" w:rsidRPr="002C7BA6" w:rsidP="00B05463" w14:paraId="66D17900" w14:textId="77777777">
      <w:pPr>
        <w:spacing w:after="0" w:line="240" w:lineRule="auto"/>
        <w:rPr>
          <w:rFonts w:ascii="Times New Roman" w:hAnsi="Times New Roman"/>
          <w:lang w:val="lv-LV"/>
        </w:rPr>
      </w:pPr>
    </w:p>
    <w:p w:rsidR="00B92C25" w:rsidRPr="00B92C25" w:rsidP="00B05463" w14:paraId="5794D1FA" w14:textId="4DB020A0">
      <w:pPr>
        <w:spacing w:after="0" w:line="240" w:lineRule="auto"/>
        <w:jc w:val="both"/>
        <w:rPr>
          <w:rFonts w:ascii="Times New Roman" w:hAnsi="Times New Roman" w:cs="Times New Roman"/>
          <w:bCs/>
          <w:sz w:val="24"/>
          <w:szCs w:val="24"/>
          <w:lang w:val="lv-LV"/>
        </w:rPr>
      </w:pPr>
    </w:p>
    <w:sectPr>
      <w:headerReference w:type="default" r:id="rId7"/>
      <w:footerReference w:type="default" r:id="rId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BA"/>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embedRegular r:id="rId1" w:fontKey="{7421E2F7-6F92-4896-A19C-1F731790328E}"/>
  </w:font>
  <w:font w:name="Tahoma">
    <w:panose1 w:val="020B0604030504040204"/>
    <w:charset w:val="BA"/>
    <w:family w:val="swiss"/>
    <w:pitch w:val="variable"/>
    <w:sig w:usb0="E1002EFF" w:usb1="C000605B" w:usb2="00000029" w:usb3="00000000" w:csb0="000101FF" w:csb1="00000000"/>
    <w:embedRegular r:id="rId2" w:fontKey="{A75961AA-2BC7-435C-8501-EDB131CA5038}"/>
  </w:font>
  <w:font w:name="Calibri Light">
    <w:panose1 w:val="020F0302020204030204"/>
    <w:charset w:val="BA"/>
    <w:family w:val="swiss"/>
    <w:pitch w:val="variable"/>
    <w:sig w:usb0="E4002EFF" w:usb1="C200247B" w:usb2="00000009" w:usb3="00000000" w:csb0="000001FF" w:csb1="00000000"/>
    <w:embedRegular r:id="rId3" w:fontKey="{C104DB1B-8AD2-4DBF-B571-9120B0ED3F5F}"/>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43539" w:rsidRPr="00EC172E" w:rsidP="00EC172E" w14:paraId="264C1632" w14:textId="5C0D23BA">
    <w:pPr>
      <w:pStyle w:val="Elektronikaisparaksts"/>
    </w:pPr>
    <w:r w:rsidRPr="00EC172E">
      <w:t xml:space="preserve">DOKUMENTS PARAKSTĪTS AR DROŠU ELEKTRONISKO PARAKSTU UN SATUR LAIKA ZĪMOGU </w:t>
    </w:r>
    <w:r w:rsidRPr="00EC172E">
      <w:rPr>
        <w:noProof/>
        <w:lang w:eastAsia="lv-LV"/>
      </w:rPr>
      <mc:AlternateContent>
        <mc:Choice Requires="wps">
          <w:drawing>
            <wp:anchor distT="0" distB="0" distL="114300" distR="114300" simplePos="0" relativeHeight="251658240" behindDoc="0" locked="0" layoutInCell="1" allowOverlap="1">
              <wp:simplePos x="0" y="0"/>
              <wp:positionH relativeFrom="page">
                <wp:posOffset>-22634</wp:posOffset>
              </wp:positionH>
              <wp:positionV relativeFrom="paragraph">
                <wp:posOffset>487686</wp:posOffset>
              </wp:positionV>
              <wp:extent cx="7831229" cy="158436"/>
              <wp:effectExtent l="0" t="0" r="0" b="0"/>
              <wp:wrapNone/>
              <wp:docPr id="3" name="Rectangle 3"/>
              <wp:cNvGraphicFramePr/>
              <a:graphic xmlns:a="http://schemas.openxmlformats.org/drawingml/2006/main">
                <a:graphicData uri="http://schemas.microsoft.com/office/word/2010/wordprocessingShape">
                  <wps:wsp xmlns:wps="http://schemas.microsoft.com/office/word/2010/wordprocessingShape">
                    <wps:cNvSpPr/>
                    <wps:spPr>
                      <a:xfrm>
                        <a:off x="0" y="0"/>
                        <a:ext cx="7831229" cy="158436"/>
                      </a:xfrm>
                      <a:prstGeom prst="rect">
                        <a:avLst/>
                      </a:prstGeom>
                      <a:solidFill>
                        <a:srgbClr val="C9203C"/>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ect id="Rectangle 3" o:spid="_x0000_s2055" style="width:616.65pt;height:12.5pt;margin-top:38.4pt;margin-left:-1.8pt;mso-height-percent:0;mso-height-relative:margin;mso-position-horizontal-relative:page;mso-width-percent:0;mso-width-relative:margin;mso-wrap-distance-bottom:0;mso-wrap-distance-left:9pt;mso-wrap-distance-right:9pt;mso-wrap-distance-top:0;mso-wrap-style:square;position:absolute;v-text-anchor:middle;visibility:visible;z-index:251659264" fillcolor="#c9203c" stroked="f" strokeweight="1p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3D7705" w14:paraId="62AB3365" w14:textId="77777777">
      <w:pPr>
        <w:spacing w:after="0" w:line="240" w:lineRule="auto"/>
      </w:pPr>
      <w:r>
        <w:separator/>
      </w:r>
    </w:p>
  </w:footnote>
  <w:footnote w:type="continuationSeparator" w:id="1">
    <w:p w:rsidR="003D7705" w14:paraId="541CA0C2" w14:textId="77777777">
      <w:pPr>
        <w:spacing w:after="0" w:line="240" w:lineRule="auto"/>
      </w:pPr>
      <w:r>
        <w:continuationSeparator/>
      </w:r>
    </w:p>
  </w:footnote>
  <w:footnote w:id="2">
    <w:p w:rsidR="00D90558" w:rsidP="00D90558" w14:paraId="5C61854A" w14:textId="77777777">
      <w:pPr>
        <w:pStyle w:val="FootnoteText"/>
      </w:pPr>
      <w:r>
        <w:rPr>
          <w:rStyle w:val="FootnoteReference"/>
        </w:rPr>
        <w:footnoteRef/>
      </w:r>
      <w:r>
        <w:rPr>
          <w:rFonts w:ascii="Times New Roman" w:hAnsi="Times New Roman" w:cs="Times New Roman"/>
        </w:rPr>
        <w:t xml:space="preserve"> </w:t>
      </w:r>
      <w:hyperlink r:id="rId1" w:history="1">
        <w:r w:rsidRPr="00126E3B">
          <w:rPr>
            <w:rStyle w:val="Hyperlink"/>
            <w:rFonts w:ascii="Times New Roman" w:hAnsi="Times New Roman" w:cs="Times New Roman"/>
          </w:rPr>
          <w:t>https://tapportals.mk.gov.lv/legal_acts/0aa540e4-0d3b-4fb5-b121-d373da645808</w:t>
        </w:r>
      </w:hyperlink>
      <w: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F157F" w:rsidP="007F157F" w14:paraId="6DE64B55" w14:textId="3978C738">
    <w:pPr>
      <w:pStyle w:val="Header"/>
      <w:tabs>
        <w:tab w:val="clear" w:pos="4680"/>
      </w:tabs>
    </w:pPr>
    <w:r>
      <w:rPr>
        <w:noProof/>
        <w:lang w:val="lv-LV" w:eastAsia="lv-LV"/>
      </w:rPr>
      <mc:AlternateContent>
        <mc:Choice Requires="wpg">
          <w:drawing>
            <wp:anchor distT="0" distB="0" distL="114300" distR="114300" simplePos="0" relativeHeight="251659264" behindDoc="0" locked="0" layoutInCell="1" allowOverlap="1">
              <wp:simplePos x="0" y="0"/>
              <wp:positionH relativeFrom="margin">
                <wp:posOffset>5218026</wp:posOffset>
              </wp:positionH>
              <wp:positionV relativeFrom="paragraph">
                <wp:posOffset>219075</wp:posOffset>
              </wp:positionV>
              <wp:extent cx="850886" cy="626134"/>
              <wp:effectExtent l="0" t="0" r="0" b="2540"/>
              <wp:wrapNone/>
              <wp:docPr id="9" name="Group 9"/>
              <wp:cNvGraphicFramePr/>
              <a:graphic xmlns:a="http://schemas.openxmlformats.org/drawingml/2006/main">
                <a:graphicData uri="http://schemas.microsoft.com/office/word/2010/wordprocessingGroup">
                  <wpg:wgp xmlns:wpg="http://schemas.microsoft.com/office/word/2010/wordprocessingGroup">
                    <wpg:cNvGrpSpPr/>
                    <wpg:grpSpPr>
                      <a:xfrm>
                        <a:off x="0" y="0"/>
                        <a:ext cx="850886" cy="626134"/>
                        <a:chOff x="0" y="0"/>
                        <a:chExt cx="988107" cy="727709"/>
                      </a:xfrm>
                    </wpg:grpSpPr>
                    <wps:wsp xmlns:wps="http://schemas.microsoft.com/office/word/2010/wordprocessingShape">
                      <wps:cNvPr id="217" name="Text Box 2"/>
                      <wps:cNvSpPr txBox="1">
                        <a:spLocks noChangeArrowheads="1"/>
                      </wps:cNvSpPr>
                      <wps:spPr bwMode="auto">
                        <a:xfrm>
                          <a:off x="121333" y="0"/>
                          <a:ext cx="866774" cy="727709"/>
                        </a:xfrm>
                        <a:prstGeom prst="rect">
                          <a:avLst/>
                        </a:prstGeom>
                        <a:noFill/>
                        <a:ln w="9525">
                          <a:noFill/>
                          <a:miter lim="800000"/>
                          <a:headEnd/>
                          <a:tailEnd/>
                        </a:ln>
                      </wps:spPr>
                      <wps:txbx>
                        <w:txbxContent>
                          <w:p w:rsidR="009D2BF5" w:rsidRPr="00564B3B" w:rsidP="000A63D7" w14:textId="77777777">
                            <w:pPr>
                              <w:pStyle w:val="Header"/>
                              <w:tabs>
                                <w:tab w:val="clear" w:pos="4680"/>
                              </w:tabs>
                              <w:spacing w:after="80"/>
                              <w:rPr>
                                <w:rFonts w:ascii="Tahoma" w:hAnsi="Tahoma" w:cs="Tahoma"/>
                                <w:color w:val="2A2765"/>
                                <w:sz w:val="16"/>
                                <w:szCs w:val="16"/>
                              </w:rPr>
                            </w:pPr>
                            <w:r w:rsidRPr="00564B3B">
                              <w:rPr>
                                <w:rFonts w:ascii="Tahoma" w:hAnsi="Tahoma" w:cs="Tahoma"/>
                                <w:color w:val="2A2765"/>
                                <w:sz w:val="16"/>
                                <w:szCs w:val="16"/>
                              </w:rPr>
                              <w:t>llsa@llsa.eu</w:t>
                            </w:r>
                          </w:p>
                          <w:p w:rsidR="00452912" w:rsidRPr="00564B3B" w:rsidP="000A63D7" w14:textId="77777777">
                            <w:pPr>
                              <w:spacing w:after="80"/>
                              <w:rPr>
                                <w:rFonts w:ascii="Tahoma" w:hAnsi="Tahoma" w:cs="Tahoma"/>
                                <w:color w:val="2A2765"/>
                                <w:sz w:val="16"/>
                                <w:szCs w:val="16"/>
                              </w:rPr>
                            </w:pPr>
                            <w:r>
                              <w:rPr>
                                <w:rFonts w:ascii="Tahoma" w:hAnsi="Tahoma" w:cs="Tahoma"/>
                                <w:color w:val="2A2765"/>
                                <w:sz w:val="16"/>
                                <w:szCs w:val="16"/>
                              </w:rPr>
                              <w:t>26810692</w:t>
                            </w:r>
                          </w:p>
                          <w:p w:rsidR="00913D0E" w:rsidRPr="00564B3B" w:rsidP="000A63D7" w14:textId="77777777">
                            <w:pPr>
                              <w:spacing w:after="80"/>
                              <w:rPr>
                                <w:rFonts w:ascii="Tahoma" w:hAnsi="Tahoma" w:cs="Tahoma"/>
                                <w:color w:val="2A2765"/>
                                <w:sz w:val="16"/>
                                <w:szCs w:val="16"/>
                              </w:rPr>
                            </w:pPr>
                            <w:r w:rsidRPr="00564B3B">
                              <w:rPr>
                                <w:rFonts w:ascii="Tahoma" w:hAnsi="Tahoma" w:cs="Tahoma"/>
                                <w:color w:val="2A2765"/>
                                <w:sz w:val="16"/>
                                <w:szCs w:val="16"/>
                              </w:rPr>
                              <w:t>www.llsa.eu</w:t>
                            </w:r>
                          </w:p>
                        </w:txbxContent>
                      </wps:txbx>
                      <wps:bodyPr rot="0" vert="horz" wrap="square" lIns="91440" tIns="45720" rIns="91440" bIns="45720" anchor="t" anchorCtr="0"/>
                    </wps:wsp>
                    <pic:pic xmlns:pic="http://schemas.openxmlformats.org/drawingml/2006/picture">
                      <pic:nvPicPr>
                        <pic:cNvPr id="8" name="Graphic 8" descr="Email"/>
                        <pic:cNvPicPr>
                          <a:picLocks noChangeAspect="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flipH="1">
                          <a:off x="0" y="35693"/>
                          <a:ext cx="171450" cy="171450"/>
                        </a:xfrm>
                        <a:prstGeom prst="rect">
                          <a:avLst/>
                        </a:prstGeom>
                      </pic:spPr>
                    </pic:pic>
                    <pic:pic xmlns:pic="http://schemas.openxmlformats.org/drawingml/2006/picture">
                      <pic:nvPicPr>
                        <pic:cNvPr id="7" name="Graphic 7" descr="Smart Phone"/>
                        <pic:cNvPicPr>
                          <a:picLocks noChangeAspect="1"/>
                        </pic:cNvPicPr>
                      </pic:nvPicPr>
                      <pic:blipFill>
                        <a:blip xmlns:r="http://schemas.openxmlformats.org/officeDocument/2006/relationships" r:embed="rId3">
                          <a:extLst>
                            <a:ext xmlns:a="http://schemas.openxmlformats.org/drawingml/2006/main" uri="{28A0092B-C50C-407E-A947-70E740481C1C}">
                              <a14:useLocalDpi xmlns:a14="http://schemas.microsoft.com/office/drawing/2010/main" val="0"/>
                            </a:ext>
                            <a:ext uri="{96DAC541-7B7A-43D3-8B79-37D633B846F1}">
                              <asvg:svgBlip xmlns:asvg="http://schemas.microsoft.com/office/drawing/2016/SVG/main" r:embed="rId4"/>
                            </a:ext>
                          </a:extLst>
                        </a:blip>
                        <a:stretch>
                          <a:fillRect/>
                        </a:stretch>
                      </pic:blipFill>
                      <pic:spPr>
                        <a:xfrm flipH="1">
                          <a:off x="0" y="248416"/>
                          <a:ext cx="171450" cy="171450"/>
                        </a:xfrm>
                        <a:prstGeom prst="rect">
                          <a:avLst/>
                        </a:prstGeom>
                      </pic:spPr>
                    </pic:pic>
                    <wps:wsp xmlns:wps="http://schemas.microsoft.com/office/word/2010/wordprocessingShape">
                      <wps:cNvPr id="18" name="Freeform 15"/>
                      <wps:cNvSpPr>
                        <a:spLocks noEditPoints="1"/>
                      </wps:cNvSpPr>
                      <wps:spPr bwMode="auto">
                        <a:xfrm>
                          <a:off x="15857" y="473083"/>
                          <a:ext cx="141681" cy="142427"/>
                        </a:xfrm>
                        <a:custGeom>
                          <a:avLst/>
                          <a:gdLst>
                            <a:gd name="T0" fmla="*/ 0 w 176"/>
                            <a:gd name="T1" fmla="*/ 88 h 176"/>
                            <a:gd name="T2" fmla="*/ 176 w 176"/>
                            <a:gd name="T3" fmla="*/ 88 h 176"/>
                            <a:gd name="T4" fmla="*/ 64 w 176"/>
                            <a:gd name="T5" fmla="*/ 12 h 176"/>
                            <a:gd name="T6" fmla="*/ 59 w 176"/>
                            <a:gd name="T7" fmla="*/ 18 h 176"/>
                            <a:gd name="T8" fmla="*/ 50 w 176"/>
                            <a:gd name="T9" fmla="*/ 34 h 176"/>
                            <a:gd name="T10" fmla="*/ 36 w 176"/>
                            <a:gd name="T11" fmla="*/ 27 h 176"/>
                            <a:gd name="T12" fmla="*/ 31 w 176"/>
                            <a:gd name="T13" fmla="*/ 32 h 176"/>
                            <a:gd name="T14" fmla="*/ 46 w 176"/>
                            <a:gd name="T15" fmla="*/ 44 h 176"/>
                            <a:gd name="T16" fmla="*/ 42 w 176"/>
                            <a:gd name="T17" fmla="*/ 66 h 176"/>
                            <a:gd name="T18" fmla="*/ 40 w 176"/>
                            <a:gd name="T19" fmla="*/ 77 h 176"/>
                            <a:gd name="T20" fmla="*/ 8 w 176"/>
                            <a:gd name="T21" fmla="*/ 84 h 176"/>
                            <a:gd name="T22" fmla="*/ 8 w 176"/>
                            <a:gd name="T23" fmla="*/ 92 h 176"/>
                            <a:gd name="T24" fmla="*/ 40 w 176"/>
                            <a:gd name="T25" fmla="*/ 99 h 176"/>
                            <a:gd name="T26" fmla="*/ 42 w 176"/>
                            <a:gd name="T27" fmla="*/ 110 h 176"/>
                            <a:gd name="T28" fmla="*/ 46 w 176"/>
                            <a:gd name="T29" fmla="*/ 132 h 176"/>
                            <a:gd name="T30" fmla="*/ 31 w 176"/>
                            <a:gd name="T31" fmla="*/ 144 h 176"/>
                            <a:gd name="T32" fmla="*/ 36 w 176"/>
                            <a:gd name="T33" fmla="*/ 149 h 176"/>
                            <a:gd name="T34" fmla="*/ 50 w 176"/>
                            <a:gd name="T35" fmla="*/ 142 h 176"/>
                            <a:gd name="T36" fmla="*/ 59 w 176"/>
                            <a:gd name="T37" fmla="*/ 158 h 176"/>
                            <a:gd name="T38" fmla="*/ 64 w 176"/>
                            <a:gd name="T39" fmla="*/ 164 h 176"/>
                            <a:gd name="T40" fmla="*/ 84 w 176"/>
                            <a:gd name="T41" fmla="*/ 168 h 176"/>
                            <a:gd name="T42" fmla="*/ 84 w 176"/>
                            <a:gd name="T43" fmla="*/ 132 h 176"/>
                            <a:gd name="T44" fmla="*/ 84 w 176"/>
                            <a:gd name="T45" fmla="*/ 124 h 176"/>
                            <a:gd name="T46" fmla="*/ 48 w 176"/>
                            <a:gd name="T47" fmla="*/ 92 h 176"/>
                            <a:gd name="T48" fmla="*/ 84 w 176"/>
                            <a:gd name="T49" fmla="*/ 124 h 176"/>
                            <a:gd name="T50" fmla="*/ 48 w 176"/>
                            <a:gd name="T51" fmla="*/ 84 h 176"/>
                            <a:gd name="T52" fmla="*/ 84 w 176"/>
                            <a:gd name="T53" fmla="*/ 52 h 176"/>
                            <a:gd name="T54" fmla="*/ 84 w 176"/>
                            <a:gd name="T55" fmla="*/ 44 h 176"/>
                            <a:gd name="T56" fmla="*/ 84 w 176"/>
                            <a:gd name="T57" fmla="*/ 8 h 176"/>
                            <a:gd name="T58" fmla="*/ 168 w 176"/>
                            <a:gd name="T59" fmla="*/ 84 h 176"/>
                            <a:gd name="T60" fmla="*/ 136 w 176"/>
                            <a:gd name="T61" fmla="*/ 77 h 176"/>
                            <a:gd name="T62" fmla="*/ 134 w 176"/>
                            <a:gd name="T63" fmla="*/ 66 h 176"/>
                            <a:gd name="T64" fmla="*/ 130 w 176"/>
                            <a:gd name="T65" fmla="*/ 44 h 176"/>
                            <a:gd name="T66" fmla="*/ 145 w 176"/>
                            <a:gd name="T67" fmla="*/ 32 h 176"/>
                            <a:gd name="T68" fmla="*/ 140 w 176"/>
                            <a:gd name="T69" fmla="*/ 27 h 176"/>
                            <a:gd name="T70" fmla="*/ 126 w 176"/>
                            <a:gd name="T71" fmla="*/ 34 h 176"/>
                            <a:gd name="T72" fmla="*/ 117 w 176"/>
                            <a:gd name="T73" fmla="*/ 18 h 176"/>
                            <a:gd name="T74" fmla="*/ 112 w 176"/>
                            <a:gd name="T75" fmla="*/ 12 h 176"/>
                            <a:gd name="T76" fmla="*/ 92 w 176"/>
                            <a:gd name="T77" fmla="*/ 8 h 176"/>
                            <a:gd name="T78" fmla="*/ 92 w 176"/>
                            <a:gd name="T79" fmla="*/ 44 h 176"/>
                            <a:gd name="T80" fmla="*/ 92 w 176"/>
                            <a:gd name="T81" fmla="*/ 52 h 176"/>
                            <a:gd name="T82" fmla="*/ 128 w 176"/>
                            <a:gd name="T83" fmla="*/ 84 h 176"/>
                            <a:gd name="T84" fmla="*/ 92 w 176"/>
                            <a:gd name="T85" fmla="*/ 52 h 176"/>
                            <a:gd name="T86" fmla="*/ 128 w 176"/>
                            <a:gd name="T87" fmla="*/ 92 h 176"/>
                            <a:gd name="T88" fmla="*/ 92 w 176"/>
                            <a:gd name="T89" fmla="*/ 124 h 176"/>
                            <a:gd name="T90" fmla="*/ 92 w 176"/>
                            <a:gd name="T91" fmla="*/ 168 h 176"/>
                            <a:gd name="T92" fmla="*/ 119 w 176"/>
                            <a:gd name="T93" fmla="*/ 137 h 176"/>
                            <a:gd name="T94" fmla="*/ 112 w 176"/>
                            <a:gd name="T95" fmla="*/ 164 h 176"/>
                            <a:gd name="T96" fmla="*/ 117 w 176"/>
                            <a:gd name="T97" fmla="*/ 158 h 176"/>
                            <a:gd name="T98" fmla="*/ 126 w 176"/>
                            <a:gd name="T99" fmla="*/ 142 h 176"/>
                            <a:gd name="T100" fmla="*/ 140 w 176"/>
                            <a:gd name="T101" fmla="*/ 149 h 176"/>
                            <a:gd name="T102" fmla="*/ 145 w 176"/>
                            <a:gd name="T103" fmla="*/ 144 h 176"/>
                            <a:gd name="T104" fmla="*/ 130 w 176"/>
                            <a:gd name="T105" fmla="*/ 132 h 176"/>
                            <a:gd name="T106" fmla="*/ 134 w 176"/>
                            <a:gd name="T107" fmla="*/ 110 h 176"/>
                            <a:gd name="T108" fmla="*/ 136 w 176"/>
                            <a:gd name="T109" fmla="*/ 99 h 176"/>
                            <a:gd name="T110" fmla="*/ 168 w 176"/>
                            <a:gd name="T111" fmla="*/ 92 h 176"/>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Lst>
                          <a:rect l="0" t="0" r="r" b="b"/>
                          <a:pathLst>
                            <a:path fill="norm" h="176" w="176" stroke="1">
                              <a:moveTo>
                                <a:pt x="88" y="0"/>
                              </a:moveTo>
                              <a:cubicBezTo>
                                <a:pt x="39" y="0"/>
                                <a:pt x="0" y="39"/>
                                <a:pt x="0" y="88"/>
                              </a:cubicBezTo>
                              <a:cubicBezTo>
                                <a:pt x="0" y="137"/>
                                <a:pt x="39" y="176"/>
                                <a:pt x="88" y="176"/>
                              </a:cubicBezTo>
                              <a:cubicBezTo>
                                <a:pt x="137" y="176"/>
                                <a:pt x="176" y="137"/>
                                <a:pt x="176" y="88"/>
                              </a:cubicBezTo>
                              <a:cubicBezTo>
                                <a:pt x="176" y="39"/>
                                <a:pt x="137" y="0"/>
                                <a:pt x="88" y="0"/>
                              </a:cubicBezTo>
                              <a:moveTo>
                                <a:pt x="64" y="12"/>
                              </a:moveTo>
                              <a:cubicBezTo>
                                <a:pt x="63" y="13"/>
                                <a:pt x="61" y="15"/>
                                <a:pt x="59" y="18"/>
                              </a:cubicBezTo>
                              <a:cubicBezTo>
                                <a:pt x="59" y="18"/>
                                <a:pt x="59" y="18"/>
                                <a:pt x="59" y="18"/>
                              </a:cubicBezTo>
                              <a:cubicBezTo>
                                <a:pt x="56" y="23"/>
                                <a:pt x="53" y="28"/>
                                <a:pt x="50" y="34"/>
                              </a:cubicBezTo>
                              <a:cubicBezTo>
                                <a:pt x="50" y="34"/>
                                <a:pt x="50" y="34"/>
                                <a:pt x="50" y="34"/>
                              </a:cubicBezTo>
                              <a:cubicBezTo>
                                <a:pt x="50" y="35"/>
                                <a:pt x="50" y="35"/>
                                <a:pt x="50" y="36"/>
                              </a:cubicBezTo>
                              <a:cubicBezTo>
                                <a:pt x="45" y="33"/>
                                <a:pt x="40" y="30"/>
                                <a:pt x="36" y="27"/>
                              </a:cubicBezTo>
                              <a:cubicBezTo>
                                <a:pt x="44" y="20"/>
                                <a:pt x="54" y="15"/>
                                <a:pt x="64" y="12"/>
                              </a:cubicBezTo>
                              <a:moveTo>
                                <a:pt x="31" y="32"/>
                              </a:moveTo>
                              <a:cubicBezTo>
                                <a:pt x="35" y="36"/>
                                <a:pt x="41" y="40"/>
                                <a:pt x="47" y="43"/>
                              </a:cubicBezTo>
                              <a:cubicBezTo>
                                <a:pt x="47" y="43"/>
                                <a:pt x="47" y="44"/>
                                <a:pt x="46" y="44"/>
                              </a:cubicBezTo>
                              <a:cubicBezTo>
                                <a:pt x="45" y="50"/>
                                <a:pt x="43" y="57"/>
                                <a:pt x="42" y="63"/>
                              </a:cubicBezTo>
                              <a:cubicBezTo>
                                <a:pt x="42" y="64"/>
                                <a:pt x="42" y="65"/>
                                <a:pt x="42" y="66"/>
                              </a:cubicBezTo>
                              <a:cubicBezTo>
                                <a:pt x="41" y="69"/>
                                <a:pt x="41" y="71"/>
                                <a:pt x="41" y="74"/>
                              </a:cubicBezTo>
                              <a:cubicBezTo>
                                <a:pt x="41" y="75"/>
                                <a:pt x="40" y="76"/>
                                <a:pt x="40" y="77"/>
                              </a:cubicBezTo>
                              <a:cubicBezTo>
                                <a:pt x="40" y="79"/>
                                <a:pt x="40" y="82"/>
                                <a:pt x="40" y="84"/>
                              </a:cubicBezTo>
                              <a:cubicBezTo>
                                <a:pt x="8" y="84"/>
                                <a:pt x="8" y="84"/>
                                <a:pt x="8" y="84"/>
                              </a:cubicBezTo>
                              <a:cubicBezTo>
                                <a:pt x="9" y="64"/>
                                <a:pt x="18" y="46"/>
                                <a:pt x="31" y="32"/>
                              </a:cubicBezTo>
                              <a:moveTo>
                                <a:pt x="8" y="92"/>
                              </a:moveTo>
                              <a:cubicBezTo>
                                <a:pt x="40" y="92"/>
                                <a:pt x="40" y="92"/>
                                <a:pt x="40" y="92"/>
                              </a:cubicBezTo>
                              <a:cubicBezTo>
                                <a:pt x="40" y="94"/>
                                <a:pt x="40" y="97"/>
                                <a:pt x="40" y="99"/>
                              </a:cubicBezTo>
                              <a:cubicBezTo>
                                <a:pt x="40" y="100"/>
                                <a:pt x="41" y="101"/>
                                <a:pt x="41" y="102"/>
                              </a:cubicBezTo>
                              <a:cubicBezTo>
                                <a:pt x="41" y="105"/>
                                <a:pt x="41" y="107"/>
                                <a:pt x="42" y="110"/>
                              </a:cubicBezTo>
                              <a:cubicBezTo>
                                <a:pt x="42" y="111"/>
                                <a:pt x="42" y="112"/>
                                <a:pt x="42" y="113"/>
                              </a:cubicBezTo>
                              <a:cubicBezTo>
                                <a:pt x="43" y="119"/>
                                <a:pt x="45" y="126"/>
                                <a:pt x="46" y="132"/>
                              </a:cubicBezTo>
                              <a:cubicBezTo>
                                <a:pt x="47" y="132"/>
                                <a:pt x="47" y="133"/>
                                <a:pt x="47" y="133"/>
                              </a:cubicBezTo>
                              <a:cubicBezTo>
                                <a:pt x="41" y="136"/>
                                <a:pt x="35" y="140"/>
                                <a:pt x="31" y="144"/>
                              </a:cubicBezTo>
                              <a:cubicBezTo>
                                <a:pt x="18" y="130"/>
                                <a:pt x="9" y="112"/>
                                <a:pt x="8" y="92"/>
                              </a:cubicBezTo>
                              <a:moveTo>
                                <a:pt x="36" y="149"/>
                              </a:moveTo>
                              <a:cubicBezTo>
                                <a:pt x="40" y="146"/>
                                <a:pt x="45" y="143"/>
                                <a:pt x="50" y="140"/>
                              </a:cubicBezTo>
                              <a:cubicBezTo>
                                <a:pt x="50" y="141"/>
                                <a:pt x="50" y="141"/>
                                <a:pt x="50" y="142"/>
                              </a:cubicBezTo>
                              <a:cubicBezTo>
                                <a:pt x="50" y="142"/>
                                <a:pt x="50" y="142"/>
                                <a:pt x="50" y="142"/>
                              </a:cubicBezTo>
                              <a:cubicBezTo>
                                <a:pt x="53" y="148"/>
                                <a:pt x="56" y="153"/>
                                <a:pt x="59" y="158"/>
                              </a:cubicBezTo>
                              <a:cubicBezTo>
                                <a:pt x="59" y="158"/>
                                <a:pt x="59" y="158"/>
                                <a:pt x="59" y="158"/>
                              </a:cubicBezTo>
                              <a:cubicBezTo>
                                <a:pt x="61" y="161"/>
                                <a:pt x="63" y="163"/>
                                <a:pt x="64" y="164"/>
                              </a:cubicBezTo>
                              <a:cubicBezTo>
                                <a:pt x="54" y="161"/>
                                <a:pt x="44" y="156"/>
                                <a:pt x="36" y="149"/>
                              </a:cubicBezTo>
                              <a:moveTo>
                                <a:pt x="84" y="168"/>
                              </a:moveTo>
                              <a:cubicBezTo>
                                <a:pt x="73" y="165"/>
                                <a:pt x="63" y="154"/>
                                <a:pt x="57" y="137"/>
                              </a:cubicBezTo>
                              <a:cubicBezTo>
                                <a:pt x="65" y="134"/>
                                <a:pt x="74" y="133"/>
                                <a:pt x="84" y="132"/>
                              </a:cubicBezTo>
                              <a:lnTo>
                                <a:pt x="84" y="168"/>
                              </a:lnTo>
                              <a:close/>
                              <a:moveTo>
                                <a:pt x="84" y="124"/>
                              </a:moveTo>
                              <a:cubicBezTo>
                                <a:pt x="73" y="125"/>
                                <a:pt x="63" y="127"/>
                                <a:pt x="54" y="130"/>
                              </a:cubicBezTo>
                              <a:cubicBezTo>
                                <a:pt x="51" y="119"/>
                                <a:pt x="48" y="106"/>
                                <a:pt x="48" y="92"/>
                              </a:cubicBezTo>
                              <a:cubicBezTo>
                                <a:pt x="84" y="92"/>
                                <a:pt x="84" y="92"/>
                                <a:pt x="84" y="92"/>
                              </a:cubicBezTo>
                              <a:lnTo>
                                <a:pt x="84" y="124"/>
                              </a:lnTo>
                              <a:close/>
                              <a:moveTo>
                                <a:pt x="84" y="84"/>
                              </a:moveTo>
                              <a:cubicBezTo>
                                <a:pt x="48" y="84"/>
                                <a:pt x="48" y="84"/>
                                <a:pt x="48" y="84"/>
                              </a:cubicBezTo>
                              <a:cubicBezTo>
                                <a:pt x="48" y="70"/>
                                <a:pt x="51" y="57"/>
                                <a:pt x="54" y="46"/>
                              </a:cubicBezTo>
                              <a:cubicBezTo>
                                <a:pt x="63" y="49"/>
                                <a:pt x="73" y="51"/>
                                <a:pt x="84" y="52"/>
                              </a:cubicBezTo>
                              <a:lnTo>
                                <a:pt x="84" y="84"/>
                              </a:lnTo>
                              <a:close/>
                              <a:moveTo>
                                <a:pt x="84" y="44"/>
                              </a:moveTo>
                              <a:cubicBezTo>
                                <a:pt x="74" y="43"/>
                                <a:pt x="65" y="42"/>
                                <a:pt x="57" y="39"/>
                              </a:cubicBezTo>
                              <a:cubicBezTo>
                                <a:pt x="63" y="22"/>
                                <a:pt x="73" y="11"/>
                                <a:pt x="84" y="8"/>
                              </a:cubicBezTo>
                              <a:lnTo>
                                <a:pt x="84" y="44"/>
                              </a:lnTo>
                              <a:close/>
                              <a:moveTo>
                                <a:pt x="168" y="84"/>
                              </a:moveTo>
                              <a:cubicBezTo>
                                <a:pt x="136" y="84"/>
                                <a:pt x="136" y="84"/>
                                <a:pt x="136" y="84"/>
                              </a:cubicBezTo>
                              <a:cubicBezTo>
                                <a:pt x="136" y="82"/>
                                <a:pt x="136" y="79"/>
                                <a:pt x="136" y="77"/>
                              </a:cubicBezTo>
                              <a:cubicBezTo>
                                <a:pt x="136" y="76"/>
                                <a:pt x="135" y="75"/>
                                <a:pt x="135" y="74"/>
                              </a:cubicBezTo>
                              <a:cubicBezTo>
                                <a:pt x="135" y="71"/>
                                <a:pt x="135" y="69"/>
                                <a:pt x="134" y="66"/>
                              </a:cubicBezTo>
                              <a:cubicBezTo>
                                <a:pt x="134" y="65"/>
                                <a:pt x="134" y="64"/>
                                <a:pt x="134" y="63"/>
                              </a:cubicBezTo>
                              <a:cubicBezTo>
                                <a:pt x="133" y="57"/>
                                <a:pt x="131" y="50"/>
                                <a:pt x="130" y="44"/>
                              </a:cubicBezTo>
                              <a:cubicBezTo>
                                <a:pt x="129" y="44"/>
                                <a:pt x="129" y="43"/>
                                <a:pt x="129" y="43"/>
                              </a:cubicBezTo>
                              <a:cubicBezTo>
                                <a:pt x="135" y="40"/>
                                <a:pt x="141" y="36"/>
                                <a:pt x="145" y="32"/>
                              </a:cubicBezTo>
                              <a:cubicBezTo>
                                <a:pt x="158" y="46"/>
                                <a:pt x="167" y="64"/>
                                <a:pt x="168" y="84"/>
                              </a:cubicBezTo>
                              <a:moveTo>
                                <a:pt x="140" y="27"/>
                              </a:moveTo>
                              <a:cubicBezTo>
                                <a:pt x="136" y="30"/>
                                <a:pt x="131" y="33"/>
                                <a:pt x="126" y="36"/>
                              </a:cubicBezTo>
                              <a:cubicBezTo>
                                <a:pt x="126" y="35"/>
                                <a:pt x="126" y="35"/>
                                <a:pt x="126" y="34"/>
                              </a:cubicBezTo>
                              <a:cubicBezTo>
                                <a:pt x="126" y="34"/>
                                <a:pt x="126" y="34"/>
                                <a:pt x="126" y="34"/>
                              </a:cubicBezTo>
                              <a:cubicBezTo>
                                <a:pt x="123" y="28"/>
                                <a:pt x="120" y="23"/>
                                <a:pt x="117" y="18"/>
                              </a:cubicBezTo>
                              <a:cubicBezTo>
                                <a:pt x="117" y="18"/>
                                <a:pt x="117" y="18"/>
                                <a:pt x="117" y="18"/>
                              </a:cubicBezTo>
                              <a:cubicBezTo>
                                <a:pt x="115" y="15"/>
                                <a:pt x="113" y="13"/>
                                <a:pt x="112" y="12"/>
                              </a:cubicBezTo>
                              <a:cubicBezTo>
                                <a:pt x="122" y="15"/>
                                <a:pt x="132" y="20"/>
                                <a:pt x="140" y="27"/>
                              </a:cubicBezTo>
                              <a:moveTo>
                                <a:pt x="92" y="8"/>
                              </a:moveTo>
                              <a:cubicBezTo>
                                <a:pt x="103" y="11"/>
                                <a:pt x="113" y="22"/>
                                <a:pt x="119" y="39"/>
                              </a:cubicBezTo>
                              <a:cubicBezTo>
                                <a:pt x="111" y="42"/>
                                <a:pt x="102" y="43"/>
                                <a:pt x="92" y="44"/>
                              </a:cubicBezTo>
                              <a:lnTo>
                                <a:pt x="92" y="8"/>
                              </a:lnTo>
                              <a:close/>
                              <a:moveTo>
                                <a:pt x="92" y="52"/>
                              </a:moveTo>
                              <a:cubicBezTo>
                                <a:pt x="103" y="51"/>
                                <a:pt x="113" y="49"/>
                                <a:pt x="122" y="46"/>
                              </a:cubicBezTo>
                              <a:cubicBezTo>
                                <a:pt x="125" y="57"/>
                                <a:pt x="128" y="70"/>
                                <a:pt x="128" y="84"/>
                              </a:cubicBezTo>
                              <a:cubicBezTo>
                                <a:pt x="92" y="84"/>
                                <a:pt x="92" y="84"/>
                                <a:pt x="92" y="84"/>
                              </a:cubicBezTo>
                              <a:lnTo>
                                <a:pt x="92" y="52"/>
                              </a:lnTo>
                              <a:close/>
                              <a:moveTo>
                                <a:pt x="92" y="92"/>
                              </a:moveTo>
                              <a:cubicBezTo>
                                <a:pt x="128" y="92"/>
                                <a:pt x="128" y="92"/>
                                <a:pt x="128" y="92"/>
                              </a:cubicBezTo>
                              <a:cubicBezTo>
                                <a:pt x="128" y="106"/>
                                <a:pt x="125" y="119"/>
                                <a:pt x="122" y="130"/>
                              </a:cubicBezTo>
                              <a:cubicBezTo>
                                <a:pt x="113" y="127"/>
                                <a:pt x="103" y="125"/>
                                <a:pt x="92" y="124"/>
                              </a:cubicBezTo>
                              <a:lnTo>
                                <a:pt x="92" y="92"/>
                              </a:lnTo>
                              <a:close/>
                              <a:moveTo>
                                <a:pt x="92" y="168"/>
                              </a:moveTo>
                              <a:cubicBezTo>
                                <a:pt x="92" y="132"/>
                                <a:pt x="92" y="132"/>
                                <a:pt x="92" y="132"/>
                              </a:cubicBezTo>
                              <a:cubicBezTo>
                                <a:pt x="102" y="133"/>
                                <a:pt x="111" y="134"/>
                                <a:pt x="119" y="137"/>
                              </a:cubicBezTo>
                              <a:cubicBezTo>
                                <a:pt x="113" y="154"/>
                                <a:pt x="103" y="165"/>
                                <a:pt x="92" y="168"/>
                              </a:cubicBezTo>
                              <a:moveTo>
                                <a:pt x="112" y="164"/>
                              </a:moveTo>
                              <a:cubicBezTo>
                                <a:pt x="113" y="163"/>
                                <a:pt x="115" y="161"/>
                                <a:pt x="117" y="158"/>
                              </a:cubicBezTo>
                              <a:cubicBezTo>
                                <a:pt x="117" y="158"/>
                                <a:pt x="117" y="158"/>
                                <a:pt x="117" y="158"/>
                              </a:cubicBezTo>
                              <a:cubicBezTo>
                                <a:pt x="120" y="153"/>
                                <a:pt x="123" y="148"/>
                                <a:pt x="126" y="142"/>
                              </a:cubicBezTo>
                              <a:cubicBezTo>
                                <a:pt x="126" y="142"/>
                                <a:pt x="126" y="142"/>
                                <a:pt x="126" y="142"/>
                              </a:cubicBezTo>
                              <a:cubicBezTo>
                                <a:pt x="126" y="141"/>
                                <a:pt x="126" y="141"/>
                                <a:pt x="126" y="140"/>
                              </a:cubicBezTo>
                              <a:cubicBezTo>
                                <a:pt x="131" y="143"/>
                                <a:pt x="136" y="146"/>
                                <a:pt x="140" y="149"/>
                              </a:cubicBezTo>
                              <a:cubicBezTo>
                                <a:pt x="132" y="156"/>
                                <a:pt x="122" y="161"/>
                                <a:pt x="112" y="164"/>
                              </a:cubicBezTo>
                              <a:moveTo>
                                <a:pt x="145" y="144"/>
                              </a:moveTo>
                              <a:cubicBezTo>
                                <a:pt x="141" y="140"/>
                                <a:pt x="135" y="136"/>
                                <a:pt x="129" y="133"/>
                              </a:cubicBezTo>
                              <a:cubicBezTo>
                                <a:pt x="129" y="133"/>
                                <a:pt x="129" y="132"/>
                                <a:pt x="130" y="132"/>
                              </a:cubicBezTo>
                              <a:cubicBezTo>
                                <a:pt x="131" y="126"/>
                                <a:pt x="133" y="119"/>
                                <a:pt x="134" y="113"/>
                              </a:cubicBezTo>
                              <a:cubicBezTo>
                                <a:pt x="134" y="112"/>
                                <a:pt x="134" y="111"/>
                                <a:pt x="134" y="110"/>
                              </a:cubicBezTo>
                              <a:cubicBezTo>
                                <a:pt x="135" y="107"/>
                                <a:pt x="135" y="105"/>
                                <a:pt x="135" y="102"/>
                              </a:cubicBezTo>
                              <a:cubicBezTo>
                                <a:pt x="135" y="101"/>
                                <a:pt x="136" y="100"/>
                                <a:pt x="136" y="99"/>
                              </a:cubicBezTo>
                              <a:cubicBezTo>
                                <a:pt x="136" y="97"/>
                                <a:pt x="136" y="94"/>
                                <a:pt x="136" y="92"/>
                              </a:cubicBezTo>
                              <a:cubicBezTo>
                                <a:pt x="168" y="92"/>
                                <a:pt x="168" y="92"/>
                                <a:pt x="168" y="92"/>
                              </a:cubicBezTo>
                              <a:cubicBezTo>
                                <a:pt x="167" y="112"/>
                                <a:pt x="158" y="130"/>
                                <a:pt x="145" y="144"/>
                              </a:cubicBezTo>
                            </a:path>
                          </a:pathLst>
                        </a:custGeom>
                        <a:solidFill>
                          <a:srgbClr val="C9203C"/>
                        </a:solidFill>
                        <a:ln>
                          <a:noFill/>
                        </a:ln>
                      </wps:spPr>
                      <wps:bodyPr vert="horz" wrap="square" lIns="91440" tIns="45720" rIns="91440" bIns="45720" numCol="1" anchor="t" anchorCtr="0" compatLnSpc="1">
                        <a:prstTxWarp prst="textNoShape">
                          <a:avLst/>
                        </a:prstTxWarp>
                      </wps:bodyPr>
                    </wps:wsp>
                  </wpg:wgp>
                </a:graphicData>
              </a:graphic>
              <wp14:sizeRelH relativeFrom="margin">
                <wp14:pctWidth>0</wp14:pctWidth>
              </wp14:sizeRelH>
              <wp14:sizeRelV relativeFrom="margin">
                <wp14:pctHeight>0</wp14:pctHeight>
              </wp14:sizeRelV>
            </wp:anchor>
          </w:drawing>
        </mc:Choice>
        <mc:Fallback>
          <w:pict>
            <v:group id="Group 9" o:spid="_x0000_s2049" style="width:67pt;height:49.3pt;margin-top:17.25pt;margin-left:410.85pt;mso-height-relative:margin;mso-position-horizontal-relative:margin;mso-width-relative:margin;position:absolute;z-index:251660288" coordsize="9881,7277">
              <v:shapetype id="_x0000_t202" coordsize="21600,21600" o:spt="202" path="m,l,21600r21600,l21600,xe">
                <v:stroke joinstyle="miter"/>
                <v:path gradientshapeok="t" o:connecttype="rect"/>
              </v:shapetype>
              <v:shape id="Text Box 2" o:spid="_x0000_s2050" type="#_x0000_t202" style="width:8668;height:7277;left:1213;mso-wrap-style:square;position:absolute;v-text-anchor:top;visibility:visible" filled="f" stroked="f">
                <v:textbox>
                  <w:txbxContent>
                    <w:p w:rsidR="009D2BF5" w:rsidRPr="00564B3B" w:rsidP="000A63D7" w14:paraId="7DF0CBBA" w14:textId="77777777">
                      <w:pPr>
                        <w:pStyle w:val="Header"/>
                        <w:tabs>
                          <w:tab w:val="clear" w:pos="4680"/>
                        </w:tabs>
                        <w:spacing w:after="80"/>
                        <w:rPr>
                          <w:rFonts w:ascii="Tahoma" w:hAnsi="Tahoma" w:cs="Tahoma"/>
                          <w:color w:val="2A2765"/>
                          <w:sz w:val="16"/>
                          <w:szCs w:val="16"/>
                        </w:rPr>
                      </w:pPr>
                      <w:r w:rsidRPr="00564B3B">
                        <w:rPr>
                          <w:rFonts w:ascii="Tahoma" w:hAnsi="Tahoma" w:cs="Tahoma"/>
                          <w:color w:val="2A2765"/>
                          <w:sz w:val="16"/>
                          <w:szCs w:val="16"/>
                        </w:rPr>
                        <w:t>llsa@llsa.eu</w:t>
                      </w:r>
                    </w:p>
                    <w:p w:rsidR="00452912" w:rsidRPr="00564B3B" w:rsidP="000A63D7" w14:paraId="19C4AA04" w14:textId="77777777">
                      <w:pPr>
                        <w:spacing w:after="80"/>
                        <w:rPr>
                          <w:rFonts w:ascii="Tahoma" w:hAnsi="Tahoma" w:cs="Tahoma"/>
                          <w:color w:val="2A2765"/>
                          <w:sz w:val="16"/>
                          <w:szCs w:val="16"/>
                        </w:rPr>
                      </w:pPr>
                      <w:r>
                        <w:rPr>
                          <w:rFonts w:ascii="Tahoma" w:hAnsi="Tahoma" w:cs="Tahoma"/>
                          <w:color w:val="2A2765"/>
                          <w:sz w:val="16"/>
                          <w:szCs w:val="16"/>
                        </w:rPr>
                        <w:t>26810692</w:t>
                      </w:r>
                    </w:p>
                    <w:p w:rsidR="00913D0E" w:rsidRPr="00564B3B" w:rsidP="000A63D7" w14:paraId="28BB1048" w14:textId="77777777">
                      <w:pPr>
                        <w:spacing w:after="80"/>
                        <w:rPr>
                          <w:rFonts w:ascii="Tahoma" w:hAnsi="Tahoma" w:cs="Tahoma"/>
                          <w:color w:val="2A2765"/>
                          <w:sz w:val="16"/>
                          <w:szCs w:val="16"/>
                        </w:rPr>
                      </w:pPr>
                      <w:r w:rsidRPr="00564B3B">
                        <w:rPr>
                          <w:rFonts w:ascii="Tahoma" w:hAnsi="Tahoma" w:cs="Tahoma"/>
                          <w:color w:val="2A2765"/>
                          <w:sz w:val="16"/>
                          <w:szCs w:val="16"/>
                        </w:rPr>
                        <w:t>www.llsa.eu</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Graphic 8" o:spid="_x0000_s2051" type="#_x0000_t75" alt="Email" style="width:1714;height:1715;flip:x;mso-wrap-style:square;position:absolute;top:356;visibility:visible">
                <v:imagedata r:id="rId5" o:title="Email"/>
              </v:shape>
              <v:shape id="Graphic 7" o:spid="_x0000_s2052" type="#_x0000_t75" alt="Smart Phone" style="width:1714;height:1714;flip:x;mso-wrap-style:square;position:absolute;top:2484;visibility:visible">
                <v:imagedata r:id="rId6" o:title="Smart Phone"/>
              </v:shape>
              <v:shape id="Freeform 15" o:spid="_x0000_s2053" style="width:1417;height:1425;left:158;mso-wrap-style:square;position:absolute;top:4730;v-text-anchor:top;visibility:visible" coordsize="176,176" path="m88,c39,,,39,,88c,137,39,176,88,176c137,176,176,137,176,88,176,39,137,,88,m64,12c63,13,61,15,59,18c59,18,59,18,59,18c56,23,53,28,50,34c50,34,50,34,50,34c50,35,50,35,50,36c45,33,40,30,36,27,44,20,54,15,64,12m31,32c35,36,41,40,47,43c47,43,47,44,46,44c45,50,43,57,42,63c42,64,42,65,42,66c41,69,41,71,41,74c41,75,40,76,40,77c40,79,40,82,40,84c8,84,8,84,8,84,9,64,18,46,31,32m8,92c40,92,40,92,40,92c40,94,40,97,40,99c40,100,41,101,41,102c41,105,41,107,42,110c42,111,42,112,42,113c43,119,45,126,46,132c47,132,47,133,47,133c41,136,35,140,31,144,18,130,9,112,8,92m36,149c40,146,45,143,50,140c50,141,50,141,50,142c50,142,50,142,50,142c53,148,56,153,59,158c59,158,59,158,59,158c61,161,63,163,64,164c54,161,44,156,36,149m84,168c73,165,63,154,57,137c65,134,74,133,84,132l84,168xm84,124c73,125,63,127,54,130c51,119,48,106,48,92c84,92,84,92,84,92l84,124xm84,84c48,84,48,84,48,84c48,70,51,57,54,46c63,49,73,51,84,52l84,84xm84,44c74,43,65,42,57,39,63,22,73,11,84,8l84,44xm168,84c136,84,136,84,136,84c136,82,136,79,136,77c136,76,135,75,135,74c135,71,135,69,134,66c134,65,134,64,134,63c133,57,131,50,130,44c129,44,129,43,129,43c135,40,141,36,145,32c158,46,167,64,168,84m140,27c136,30,131,33,126,36c126,35,126,35,126,34c126,34,126,34,126,34c123,28,120,23,117,18c117,18,117,18,117,18c115,15,113,13,112,12c122,15,132,20,140,27m92,8c103,11,113,22,119,39c111,42,102,43,92,44l92,8xm92,52c103,51,113,49,122,46c125,57,128,70,128,84c92,84,92,84,92,84l92,52xm92,92c128,92,128,92,128,92c128,106,125,119,122,130c113,127,103,125,92,124l92,92xm92,168c92,132,92,132,92,132c102,133,111,134,119,137c113,154,103,165,92,168m112,164c113,163,115,161,117,158c117,158,117,158,117,158c120,153,123,148,126,142c126,142,126,142,126,142c126,141,126,141,126,140c131,143,136,146,140,149c132,156,122,161,112,164m145,144c141,140,135,136,129,133c129,133,129,132,130,132c131,126,133,119,134,113c134,112,134,111,134,110c135,107,135,105,135,102c135,101,136,100,136,99c136,97,136,94,136,92c168,92,168,92,168,92c167,112,158,130,145,144e" fillcolor="#c9203c" stroked="f">
                <v:path arrowok="t" o:connecttype="custom" o:connectlocs="0,71214;141681,71214;51520,9711;47495,14566;40250,27514;28980,21850;24955,25896;37030,35607;33810,53410;32200,62312;6440,67977;6440,74450;32200,80115;33810,89017;37030,106820;24955,116531;28980,120577;40250,114913;47495,127861;51520,132716;67620,135953;67620,106820;67620,100346;38640,74450;67620,100346;38640,67977;67620,42081;67620,35607;67620,6474;135241,67977;109481,62312;107871,53410;104651,35607;116726,25896;112701,21850;101431,27514;94186,14566;90161,9711;74061,6474;74061,35607;74061,42081;103041,67977;74061,42081;103041,74450;74061,100346;74061,135953;95796,110866;90161,132716;94186,127861;101431,114913;112701,120577;116726,116531;104651,106820;107871,89017;109481,80115;135241,74450" o:connectangles="0,0,0,0,0,0,0,0,0,0,0,0,0,0,0,0,0,0,0,0,0,0,0,0,0,0,0,0,0,0,0,0,0,0,0,0,0,0,0,0,0,0,0,0,0,0,0,0,0,0,0,0,0,0,0,0"/>
                <o:lock v:ext="edit" verticies="t"/>
              </v:shape>
              <w10:wrap anchorx="margin"/>
            </v:group>
          </w:pict>
        </mc:Fallback>
      </mc:AlternateContent>
    </w:r>
    <w:r w:rsidR="00943539">
      <w:rPr>
        <w:noProof/>
        <w:lang w:val="lv-LV" w:eastAsia="lv-LV"/>
      </w:rPr>
      <w:drawing>
        <wp:inline distT="0" distB="0" distL="0" distR="0">
          <wp:extent cx="741068" cy="781050"/>
          <wp:effectExtent l="0" t="0" r="1905"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krāsains.png"/>
                  <pic:cNvPicPr/>
                </pic:nvPicPr>
                <pic:blipFill>
                  <a:blip xmlns:r="http://schemas.openxmlformats.org/officeDocument/2006/relationships" r:embed="rId7">
                    <a:extLst>
                      <a:ext xmlns:a="http://schemas.openxmlformats.org/drawingml/2006/main" uri="{28A0092B-C50C-407E-A947-70E740481C1C}">
                        <a14:useLocalDpi xmlns:a14="http://schemas.microsoft.com/office/drawing/2010/main" val="0"/>
                      </a:ext>
                    </a:extLst>
                  </a:blip>
                  <a:stretch>
                    <a:fillRect/>
                  </a:stretch>
                </pic:blipFill>
                <pic:spPr>
                  <a:xfrm>
                    <a:off x="0" y="0"/>
                    <a:ext cx="745988" cy="786236"/>
                  </a:xfrm>
                  <a:prstGeom prst="rect">
                    <a:avLst/>
                  </a:prstGeom>
                </pic:spPr>
              </pic:pic>
            </a:graphicData>
          </a:graphic>
        </wp:inline>
      </w:drawing>
    </w:r>
    <w:r w:rsidRPr="00913D0E">
      <w:rPr>
        <w:noProof/>
      </w:rPr>
      <w:t xml:space="preserve"> </w:t>
    </w:r>
  </w:p>
  <w:p w:rsidR="00943539" w14:paraId="1DC4264D" w14:textId="0CD5A686">
    <w:pPr>
      <w:pStyle w:val="Header"/>
    </w:pPr>
    <w:r>
      <w:rPr>
        <w:noProof/>
        <w:lang w:val="lv-LV" w:eastAsia="lv-LV"/>
      </w:rPr>
      <mc:AlternateContent>
        <mc:Choice Requires="wps">
          <w:drawing>
            <wp:anchor distT="0" distB="0" distL="114300" distR="114300" simplePos="0" relativeHeight="251658240" behindDoc="0" locked="0" layoutInCell="1" allowOverlap="1">
              <wp:simplePos x="0" y="0"/>
              <wp:positionH relativeFrom="margin">
                <wp:align>center</wp:align>
              </wp:positionH>
              <wp:positionV relativeFrom="paragraph">
                <wp:posOffset>123825</wp:posOffset>
              </wp:positionV>
              <wp:extent cx="6334125" cy="0"/>
              <wp:effectExtent l="0" t="0" r="0" b="0"/>
              <wp:wrapNone/>
              <wp:docPr id="2" name="Straight Connector 2"/>
              <wp:cNvGraphicFramePr/>
              <a:graphic xmlns:a="http://schemas.openxmlformats.org/drawingml/2006/main">
                <a:graphicData uri="http://schemas.microsoft.com/office/word/2010/wordprocessingShape">
                  <wps:wsp xmlns:wps="http://schemas.microsoft.com/office/word/2010/wordprocessingShape">
                    <wps:cNvCnPr/>
                    <wps:spPr>
                      <a:xfrm>
                        <a:off x="0" y="0"/>
                        <a:ext cx="6334125" cy="0"/>
                      </a:xfrm>
                      <a:prstGeom prst="line">
                        <a:avLst/>
                      </a:prstGeom>
                      <a:ln w="12700">
                        <a:solidFill>
                          <a:srgbClr val="C9203C"/>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2" o:spid="_x0000_s2054" style="mso-position-horizontal:center;mso-position-horizontal-relative:margin;mso-wrap-distance-bottom:0;mso-wrap-distance-left:9pt;mso-wrap-distance-right:9pt;mso-wrap-distance-top:0;mso-wrap-style:square;position:absolute;visibility:visible;z-index:251661312" from="0,9.75pt" to="498.75pt,9.75pt" strokecolor="#c9203c" strokeweight="1pt">
              <v:stroke joinstyle="miter"/>
              <w10:wrap anchorx="margin"/>
            </v:lin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2FB0C46"/>
    <w:multiLevelType w:val="hybridMultilevel"/>
    <w:tmpl w:val="1C4C01FE"/>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
    <w:nsid w:val="164577E9"/>
    <w:multiLevelType w:val="hybridMultilevel"/>
    <w:tmpl w:val="E1F29A5C"/>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
    <w:nsid w:val="19EE73DA"/>
    <w:multiLevelType w:val="hybridMultilevel"/>
    <w:tmpl w:val="A35A1BFC"/>
    <w:lvl w:ilvl="0">
      <w:start w:val="1"/>
      <w:numFmt w:val="decimal"/>
      <w:lvlText w:val="%1."/>
      <w:lvlJc w:val="left"/>
      <w:pPr>
        <w:ind w:left="1080" w:hanging="72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
    <w:nsid w:val="1AB24B9C"/>
    <w:multiLevelType w:val="multilevel"/>
    <w:tmpl w:val="CA28DD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1BF81F35"/>
    <w:multiLevelType w:val="hybridMultilevel"/>
    <w:tmpl w:val="C284F780"/>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5">
    <w:nsid w:val="1F0719EC"/>
    <w:multiLevelType w:val="hybridMultilevel"/>
    <w:tmpl w:val="5890F832"/>
    <w:lvl w:ilvl="0">
      <w:start w:val="0"/>
      <w:numFmt w:val="bullet"/>
      <w:lvlText w:val="•"/>
      <w:lvlJc w:val="left"/>
      <w:pPr>
        <w:ind w:left="1080" w:hanging="720"/>
      </w:pPr>
      <w:rPr>
        <w:rFonts w:ascii="Arial" w:hAnsi="Arial" w:eastAsiaTheme="minorHAnsi" w:cs="Aria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6">
    <w:nsid w:val="27437DEF"/>
    <w:multiLevelType w:val="hybridMultilevel"/>
    <w:tmpl w:val="E752D518"/>
    <w:lvl w:ilvl="0">
      <w:start w:val="1"/>
      <w:numFmt w:val="bullet"/>
      <w:lvlText w:val="-"/>
      <w:lvlJc w:val="left"/>
      <w:pPr>
        <w:ind w:left="1636" w:hanging="360"/>
      </w:pPr>
      <w:rPr>
        <w:rFonts w:ascii="Times New Roman" w:eastAsia="Times New Roman" w:hAnsi="Times New Roman" w:cs="Times New Roman" w:hint="default"/>
        <w:color w:val="000000"/>
      </w:rPr>
    </w:lvl>
    <w:lvl w:ilvl="1" w:tentative="1">
      <w:start w:val="1"/>
      <w:numFmt w:val="bullet"/>
      <w:lvlText w:val="o"/>
      <w:lvlJc w:val="left"/>
      <w:pPr>
        <w:ind w:left="2356" w:hanging="360"/>
      </w:pPr>
      <w:rPr>
        <w:rFonts w:ascii="Courier New" w:hAnsi="Courier New" w:cs="Courier New" w:hint="default"/>
      </w:rPr>
    </w:lvl>
    <w:lvl w:ilvl="2" w:tentative="1">
      <w:start w:val="1"/>
      <w:numFmt w:val="bullet"/>
      <w:lvlText w:val=""/>
      <w:lvlJc w:val="left"/>
      <w:pPr>
        <w:ind w:left="3076" w:hanging="360"/>
      </w:pPr>
      <w:rPr>
        <w:rFonts w:ascii="Wingdings" w:hAnsi="Wingdings" w:hint="default"/>
      </w:rPr>
    </w:lvl>
    <w:lvl w:ilvl="3" w:tentative="1">
      <w:start w:val="1"/>
      <w:numFmt w:val="bullet"/>
      <w:lvlText w:val=""/>
      <w:lvlJc w:val="left"/>
      <w:pPr>
        <w:ind w:left="3796" w:hanging="360"/>
      </w:pPr>
      <w:rPr>
        <w:rFonts w:ascii="Symbol" w:hAnsi="Symbol" w:hint="default"/>
      </w:rPr>
    </w:lvl>
    <w:lvl w:ilvl="4" w:tentative="1">
      <w:start w:val="1"/>
      <w:numFmt w:val="bullet"/>
      <w:lvlText w:val="o"/>
      <w:lvlJc w:val="left"/>
      <w:pPr>
        <w:ind w:left="4516" w:hanging="360"/>
      </w:pPr>
      <w:rPr>
        <w:rFonts w:ascii="Courier New" w:hAnsi="Courier New" w:cs="Courier New" w:hint="default"/>
      </w:rPr>
    </w:lvl>
    <w:lvl w:ilvl="5" w:tentative="1">
      <w:start w:val="1"/>
      <w:numFmt w:val="bullet"/>
      <w:lvlText w:val=""/>
      <w:lvlJc w:val="left"/>
      <w:pPr>
        <w:ind w:left="5236" w:hanging="360"/>
      </w:pPr>
      <w:rPr>
        <w:rFonts w:ascii="Wingdings" w:hAnsi="Wingdings" w:hint="default"/>
      </w:rPr>
    </w:lvl>
    <w:lvl w:ilvl="6" w:tentative="1">
      <w:start w:val="1"/>
      <w:numFmt w:val="bullet"/>
      <w:lvlText w:val=""/>
      <w:lvlJc w:val="left"/>
      <w:pPr>
        <w:ind w:left="5956" w:hanging="360"/>
      </w:pPr>
      <w:rPr>
        <w:rFonts w:ascii="Symbol" w:hAnsi="Symbol" w:hint="default"/>
      </w:rPr>
    </w:lvl>
    <w:lvl w:ilvl="7" w:tentative="1">
      <w:start w:val="1"/>
      <w:numFmt w:val="bullet"/>
      <w:lvlText w:val="o"/>
      <w:lvlJc w:val="left"/>
      <w:pPr>
        <w:ind w:left="6676" w:hanging="360"/>
      </w:pPr>
      <w:rPr>
        <w:rFonts w:ascii="Courier New" w:hAnsi="Courier New" w:cs="Courier New" w:hint="default"/>
      </w:rPr>
    </w:lvl>
    <w:lvl w:ilvl="8" w:tentative="1">
      <w:start w:val="1"/>
      <w:numFmt w:val="bullet"/>
      <w:lvlText w:val=""/>
      <w:lvlJc w:val="left"/>
      <w:pPr>
        <w:ind w:left="7396" w:hanging="360"/>
      </w:pPr>
      <w:rPr>
        <w:rFonts w:ascii="Wingdings" w:hAnsi="Wingdings" w:hint="default"/>
      </w:rPr>
    </w:lvl>
  </w:abstractNum>
  <w:abstractNum w:abstractNumId="7">
    <w:nsid w:val="2AC038E5"/>
    <w:multiLevelType w:val="hybridMultilevel"/>
    <w:tmpl w:val="AB545CBA"/>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8">
    <w:nsid w:val="492A177D"/>
    <w:multiLevelType w:val="multilevel"/>
    <w:tmpl w:val="A45E4A6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4C2D20E8"/>
    <w:multiLevelType w:val="hybridMultilevel"/>
    <w:tmpl w:val="E05A84AE"/>
    <w:lvl w:ilvl="0">
      <w:start w:val="0"/>
      <w:numFmt w:val="bullet"/>
      <w:lvlText w:val="-"/>
      <w:lvlJc w:val="left"/>
      <w:pPr>
        <w:ind w:left="927" w:hanging="360"/>
      </w:pPr>
      <w:rPr>
        <w:rFonts w:ascii="Times New Roman" w:eastAsia="Times New Roman" w:hAnsi="Times New Roman" w:cs="Times New Roman" w:hint="default"/>
      </w:rPr>
    </w:lvl>
    <w:lvl w:ilvl="1" w:tentative="1">
      <w:start w:val="1"/>
      <w:numFmt w:val="bullet"/>
      <w:lvlText w:val="o"/>
      <w:lvlJc w:val="left"/>
      <w:pPr>
        <w:ind w:left="1647" w:hanging="360"/>
      </w:pPr>
      <w:rPr>
        <w:rFonts w:ascii="Courier New" w:hAnsi="Courier New" w:cs="Courier New" w:hint="default"/>
      </w:rPr>
    </w:lvl>
    <w:lvl w:ilvl="2" w:tentative="1">
      <w:start w:val="1"/>
      <w:numFmt w:val="bullet"/>
      <w:lvlText w:val=""/>
      <w:lvlJc w:val="left"/>
      <w:pPr>
        <w:ind w:left="2367" w:hanging="360"/>
      </w:pPr>
      <w:rPr>
        <w:rFonts w:ascii="Wingdings" w:hAnsi="Wingdings" w:hint="default"/>
      </w:rPr>
    </w:lvl>
    <w:lvl w:ilvl="3" w:tentative="1">
      <w:start w:val="1"/>
      <w:numFmt w:val="bullet"/>
      <w:lvlText w:val=""/>
      <w:lvlJc w:val="left"/>
      <w:pPr>
        <w:ind w:left="3087" w:hanging="360"/>
      </w:pPr>
      <w:rPr>
        <w:rFonts w:ascii="Symbol" w:hAnsi="Symbol" w:hint="default"/>
      </w:rPr>
    </w:lvl>
    <w:lvl w:ilvl="4" w:tentative="1">
      <w:start w:val="1"/>
      <w:numFmt w:val="bullet"/>
      <w:lvlText w:val="o"/>
      <w:lvlJc w:val="left"/>
      <w:pPr>
        <w:ind w:left="3807" w:hanging="360"/>
      </w:pPr>
      <w:rPr>
        <w:rFonts w:ascii="Courier New" w:hAnsi="Courier New" w:cs="Courier New" w:hint="default"/>
      </w:rPr>
    </w:lvl>
    <w:lvl w:ilvl="5" w:tentative="1">
      <w:start w:val="1"/>
      <w:numFmt w:val="bullet"/>
      <w:lvlText w:val=""/>
      <w:lvlJc w:val="left"/>
      <w:pPr>
        <w:ind w:left="4527" w:hanging="360"/>
      </w:pPr>
      <w:rPr>
        <w:rFonts w:ascii="Wingdings" w:hAnsi="Wingdings" w:hint="default"/>
      </w:rPr>
    </w:lvl>
    <w:lvl w:ilvl="6" w:tentative="1">
      <w:start w:val="1"/>
      <w:numFmt w:val="bullet"/>
      <w:lvlText w:val=""/>
      <w:lvlJc w:val="left"/>
      <w:pPr>
        <w:ind w:left="5247" w:hanging="360"/>
      </w:pPr>
      <w:rPr>
        <w:rFonts w:ascii="Symbol" w:hAnsi="Symbol" w:hint="default"/>
      </w:rPr>
    </w:lvl>
    <w:lvl w:ilvl="7" w:tentative="1">
      <w:start w:val="1"/>
      <w:numFmt w:val="bullet"/>
      <w:lvlText w:val="o"/>
      <w:lvlJc w:val="left"/>
      <w:pPr>
        <w:ind w:left="5967" w:hanging="360"/>
      </w:pPr>
      <w:rPr>
        <w:rFonts w:ascii="Courier New" w:hAnsi="Courier New" w:cs="Courier New" w:hint="default"/>
      </w:rPr>
    </w:lvl>
    <w:lvl w:ilvl="8" w:tentative="1">
      <w:start w:val="1"/>
      <w:numFmt w:val="bullet"/>
      <w:lvlText w:val=""/>
      <w:lvlJc w:val="left"/>
      <w:pPr>
        <w:ind w:left="6687" w:hanging="360"/>
      </w:pPr>
      <w:rPr>
        <w:rFonts w:ascii="Wingdings" w:hAnsi="Wingdings" w:hint="default"/>
      </w:rPr>
    </w:lvl>
  </w:abstractNum>
  <w:abstractNum w:abstractNumId="10">
    <w:nsid w:val="523D2FDD"/>
    <w:multiLevelType w:val="hybridMultilevel"/>
    <w:tmpl w:val="C8B4324C"/>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nsid w:val="52403210"/>
    <w:multiLevelType w:val="hybridMultilevel"/>
    <w:tmpl w:val="E2AC83D4"/>
    <w:lvl w:ilvl="0">
      <w:start w:val="1"/>
      <w:numFmt w:val="decimal"/>
      <w:lvlText w:val="%1."/>
      <w:lvlJc w:val="left"/>
      <w:pPr>
        <w:ind w:left="927" w:hanging="360"/>
      </w:pPr>
      <w:rPr>
        <w:rFonts w:hint="default"/>
      </w:rPr>
    </w:lvl>
    <w:lvl w:ilvl="1" w:tentative="1">
      <w:start w:val="1"/>
      <w:numFmt w:val="lowerLetter"/>
      <w:lvlText w:val="%2."/>
      <w:lvlJc w:val="left"/>
      <w:pPr>
        <w:ind w:left="1647" w:hanging="360"/>
      </w:pPr>
    </w:lvl>
    <w:lvl w:ilvl="2" w:tentative="1">
      <w:start w:val="1"/>
      <w:numFmt w:val="lowerRoman"/>
      <w:lvlText w:val="%3."/>
      <w:lvlJc w:val="right"/>
      <w:pPr>
        <w:ind w:left="2367" w:hanging="180"/>
      </w:pPr>
    </w:lvl>
    <w:lvl w:ilvl="3" w:tentative="1">
      <w:start w:val="1"/>
      <w:numFmt w:val="decimal"/>
      <w:lvlText w:val="%4."/>
      <w:lvlJc w:val="left"/>
      <w:pPr>
        <w:ind w:left="3087" w:hanging="360"/>
      </w:pPr>
    </w:lvl>
    <w:lvl w:ilvl="4" w:tentative="1">
      <w:start w:val="1"/>
      <w:numFmt w:val="lowerLetter"/>
      <w:lvlText w:val="%5."/>
      <w:lvlJc w:val="left"/>
      <w:pPr>
        <w:ind w:left="3807" w:hanging="360"/>
      </w:pPr>
    </w:lvl>
    <w:lvl w:ilvl="5" w:tentative="1">
      <w:start w:val="1"/>
      <w:numFmt w:val="lowerRoman"/>
      <w:lvlText w:val="%6."/>
      <w:lvlJc w:val="right"/>
      <w:pPr>
        <w:ind w:left="4527" w:hanging="180"/>
      </w:pPr>
    </w:lvl>
    <w:lvl w:ilvl="6" w:tentative="1">
      <w:start w:val="1"/>
      <w:numFmt w:val="decimal"/>
      <w:lvlText w:val="%7."/>
      <w:lvlJc w:val="left"/>
      <w:pPr>
        <w:ind w:left="5247" w:hanging="360"/>
      </w:pPr>
    </w:lvl>
    <w:lvl w:ilvl="7" w:tentative="1">
      <w:start w:val="1"/>
      <w:numFmt w:val="lowerLetter"/>
      <w:lvlText w:val="%8."/>
      <w:lvlJc w:val="left"/>
      <w:pPr>
        <w:ind w:left="5967" w:hanging="360"/>
      </w:pPr>
    </w:lvl>
    <w:lvl w:ilvl="8" w:tentative="1">
      <w:start w:val="1"/>
      <w:numFmt w:val="lowerRoman"/>
      <w:lvlText w:val="%9."/>
      <w:lvlJc w:val="right"/>
      <w:pPr>
        <w:ind w:left="6687" w:hanging="180"/>
      </w:pPr>
    </w:lvl>
  </w:abstractNum>
  <w:abstractNum w:abstractNumId="12">
    <w:nsid w:val="6B892737"/>
    <w:multiLevelType w:val="hybridMultilevel"/>
    <w:tmpl w:val="68085EFA"/>
    <w:lvl w:ilvl="0">
      <w:start w:val="1"/>
      <w:numFmt w:val="decimal"/>
      <w:lvlText w:val="%1."/>
      <w:lvlJc w:val="left"/>
      <w:pPr>
        <w:ind w:left="927" w:hanging="360"/>
      </w:pPr>
      <w:rPr>
        <w:rFonts w:hint="default"/>
      </w:rPr>
    </w:lvl>
    <w:lvl w:ilvl="1" w:tentative="1">
      <w:start w:val="1"/>
      <w:numFmt w:val="lowerLetter"/>
      <w:lvlText w:val="%2."/>
      <w:lvlJc w:val="left"/>
      <w:pPr>
        <w:ind w:left="1647" w:hanging="360"/>
      </w:pPr>
    </w:lvl>
    <w:lvl w:ilvl="2" w:tentative="1">
      <w:start w:val="1"/>
      <w:numFmt w:val="lowerRoman"/>
      <w:lvlText w:val="%3."/>
      <w:lvlJc w:val="right"/>
      <w:pPr>
        <w:ind w:left="2367" w:hanging="180"/>
      </w:pPr>
    </w:lvl>
    <w:lvl w:ilvl="3" w:tentative="1">
      <w:start w:val="1"/>
      <w:numFmt w:val="decimal"/>
      <w:lvlText w:val="%4."/>
      <w:lvlJc w:val="left"/>
      <w:pPr>
        <w:ind w:left="3087" w:hanging="360"/>
      </w:pPr>
    </w:lvl>
    <w:lvl w:ilvl="4" w:tentative="1">
      <w:start w:val="1"/>
      <w:numFmt w:val="lowerLetter"/>
      <w:lvlText w:val="%5."/>
      <w:lvlJc w:val="left"/>
      <w:pPr>
        <w:ind w:left="3807" w:hanging="360"/>
      </w:pPr>
    </w:lvl>
    <w:lvl w:ilvl="5" w:tentative="1">
      <w:start w:val="1"/>
      <w:numFmt w:val="lowerRoman"/>
      <w:lvlText w:val="%6."/>
      <w:lvlJc w:val="right"/>
      <w:pPr>
        <w:ind w:left="4527" w:hanging="180"/>
      </w:pPr>
    </w:lvl>
    <w:lvl w:ilvl="6" w:tentative="1">
      <w:start w:val="1"/>
      <w:numFmt w:val="decimal"/>
      <w:lvlText w:val="%7."/>
      <w:lvlJc w:val="left"/>
      <w:pPr>
        <w:ind w:left="5247" w:hanging="360"/>
      </w:pPr>
    </w:lvl>
    <w:lvl w:ilvl="7" w:tentative="1">
      <w:start w:val="1"/>
      <w:numFmt w:val="lowerLetter"/>
      <w:lvlText w:val="%8."/>
      <w:lvlJc w:val="left"/>
      <w:pPr>
        <w:ind w:left="5967" w:hanging="360"/>
      </w:pPr>
    </w:lvl>
    <w:lvl w:ilvl="8" w:tentative="1">
      <w:start w:val="1"/>
      <w:numFmt w:val="lowerRoman"/>
      <w:lvlText w:val="%9."/>
      <w:lvlJc w:val="right"/>
      <w:pPr>
        <w:ind w:left="6687" w:hanging="180"/>
      </w:pPr>
    </w:lvl>
  </w:abstractNum>
  <w:abstractNum w:abstractNumId="13">
    <w:nsid w:val="71581ACF"/>
    <w:multiLevelType w:val="hybridMultilevel"/>
    <w:tmpl w:val="EDBCCEBC"/>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4">
    <w:nsid w:val="74DA2D9B"/>
    <w:multiLevelType w:val="hybridMultilevel"/>
    <w:tmpl w:val="589A7DA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481237768">
    <w:abstractNumId w:val="7"/>
  </w:num>
  <w:num w:numId="2" w16cid:durableId="493761214">
    <w:abstractNumId w:val="0"/>
  </w:num>
  <w:num w:numId="3" w16cid:durableId="1690108286">
    <w:abstractNumId w:val="10"/>
  </w:num>
  <w:num w:numId="4" w16cid:durableId="400950017">
    <w:abstractNumId w:val="2"/>
  </w:num>
  <w:num w:numId="5" w16cid:durableId="1482960732">
    <w:abstractNumId w:val="4"/>
  </w:num>
  <w:num w:numId="6" w16cid:durableId="944075057">
    <w:abstractNumId w:val="1"/>
  </w:num>
  <w:num w:numId="7" w16cid:durableId="1027292935">
    <w:abstractNumId w:val="5"/>
  </w:num>
  <w:num w:numId="8" w16cid:durableId="64954389">
    <w:abstractNumId w:val="13"/>
  </w:num>
  <w:num w:numId="9" w16cid:durableId="20421564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858474735">
    <w:abstractNumId w:val="11"/>
  </w:num>
  <w:num w:numId="11" w16cid:durableId="790590994">
    <w:abstractNumId w:val="6"/>
  </w:num>
  <w:num w:numId="12" w16cid:durableId="238903421">
    <w:abstractNumId w:val="12"/>
  </w:num>
  <w:num w:numId="13" w16cid:durableId="1255355796">
    <w:abstractNumId w:val="3"/>
  </w:num>
  <w:num w:numId="14" w16cid:durableId="1129862923">
    <w:abstractNumId w:val="9"/>
  </w:num>
  <w:num w:numId="15" w16cid:durableId="452866035">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TrueTypeFonts/>
  <w:proofState w:grammar="clean"/>
  <w:defaultTabStop w:val="720"/>
  <w:characterSpacingControl w:val="doNotCompress"/>
  <w:footnotePr>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43539"/>
    <w:rsid w:val="0000104E"/>
    <w:rsid w:val="00013836"/>
    <w:rsid w:val="000160B9"/>
    <w:rsid w:val="00016B8B"/>
    <w:rsid w:val="00016F14"/>
    <w:rsid w:val="00020F89"/>
    <w:rsid w:val="00023B12"/>
    <w:rsid w:val="00026704"/>
    <w:rsid w:val="0003450D"/>
    <w:rsid w:val="00052433"/>
    <w:rsid w:val="000565D9"/>
    <w:rsid w:val="00057D84"/>
    <w:rsid w:val="0007530F"/>
    <w:rsid w:val="000A5D32"/>
    <w:rsid w:val="000A63D7"/>
    <w:rsid w:val="000B0175"/>
    <w:rsid w:val="000C31F3"/>
    <w:rsid w:val="000C3C9D"/>
    <w:rsid w:val="000C766D"/>
    <w:rsid w:val="000D2C5C"/>
    <w:rsid w:val="000D31B2"/>
    <w:rsid w:val="000D721F"/>
    <w:rsid w:val="000D757A"/>
    <w:rsid w:val="000F7189"/>
    <w:rsid w:val="00100BEE"/>
    <w:rsid w:val="001121A0"/>
    <w:rsid w:val="0011544A"/>
    <w:rsid w:val="00116598"/>
    <w:rsid w:val="00126D67"/>
    <w:rsid w:val="00126E3B"/>
    <w:rsid w:val="00137AC4"/>
    <w:rsid w:val="001410DD"/>
    <w:rsid w:val="00142B6D"/>
    <w:rsid w:val="0015550A"/>
    <w:rsid w:val="0016064C"/>
    <w:rsid w:val="00162312"/>
    <w:rsid w:val="00170647"/>
    <w:rsid w:val="0017650F"/>
    <w:rsid w:val="0017749F"/>
    <w:rsid w:val="00180EE1"/>
    <w:rsid w:val="0018247A"/>
    <w:rsid w:val="001833CA"/>
    <w:rsid w:val="00190208"/>
    <w:rsid w:val="00195CB9"/>
    <w:rsid w:val="001A2A20"/>
    <w:rsid w:val="001A31C4"/>
    <w:rsid w:val="001A74EB"/>
    <w:rsid w:val="001C312A"/>
    <w:rsid w:val="001D10B8"/>
    <w:rsid w:val="001D23C2"/>
    <w:rsid w:val="001E4A7A"/>
    <w:rsid w:val="00210F18"/>
    <w:rsid w:val="0022086E"/>
    <w:rsid w:val="0022092A"/>
    <w:rsid w:val="00254655"/>
    <w:rsid w:val="002557C8"/>
    <w:rsid w:val="00255B62"/>
    <w:rsid w:val="00255C68"/>
    <w:rsid w:val="00261235"/>
    <w:rsid w:val="002620E5"/>
    <w:rsid w:val="0026399C"/>
    <w:rsid w:val="00264568"/>
    <w:rsid w:val="00266480"/>
    <w:rsid w:val="0026719D"/>
    <w:rsid w:val="002702F8"/>
    <w:rsid w:val="00270FA8"/>
    <w:rsid w:val="00283EB8"/>
    <w:rsid w:val="002860E4"/>
    <w:rsid w:val="00287C5B"/>
    <w:rsid w:val="002A0A6E"/>
    <w:rsid w:val="002A70BA"/>
    <w:rsid w:val="002A718E"/>
    <w:rsid w:val="002B05F4"/>
    <w:rsid w:val="002B3649"/>
    <w:rsid w:val="002B3984"/>
    <w:rsid w:val="002B60D8"/>
    <w:rsid w:val="002B689B"/>
    <w:rsid w:val="002B7AEA"/>
    <w:rsid w:val="002C7BA6"/>
    <w:rsid w:val="002D08E7"/>
    <w:rsid w:val="002D3AFD"/>
    <w:rsid w:val="002D6C93"/>
    <w:rsid w:val="002E5F61"/>
    <w:rsid w:val="002F4EE6"/>
    <w:rsid w:val="003015BA"/>
    <w:rsid w:val="00330B62"/>
    <w:rsid w:val="00332A25"/>
    <w:rsid w:val="003334C7"/>
    <w:rsid w:val="00340BF3"/>
    <w:rsid w:val="00341F68"/>
    <w:rsid w:val="00346A7C"/>
    <w:rsid w:val="00364609"/>
    <w:rsid w:val="00365072"/>
    <w:rsid w:val="00373159"/>
    <w:rsid w:val="00380A1B"/>
    <w:rsid w:val="003840EA"/>
    <w:rsid w:val="003A0BD9"/>
    <w:rsid w:val="003A56E4"/>
    <w:rsid w:val="003B0B31"/>
    <w:rsid w:val="003C49E0"/>
    <w:rsid w:val="003D2959"/>
    <w:rsid w:val="003D7705"/>
    <w:rsid w:val="003F08AB"/>
    <w:rsid w:val="003F188B"/>
    <w:rsid w:val="003F1EF7"/>
    <w:rsid w:val="003F703C"/>
    <w:rsid w:val="00401B46"/>
    <w:rsid w:val="0040208A"/>
    <w:rsid w:val="004075AC"/>
    <w:rsid w:val="004126F2"/>
    <w:rsid w:val="00415893"/>
    <w:rsid w:val="00420755"/>
    <w:rsid w:val="00421DAA"/>
    <w:rsid w:val="0043350A"/>
    <w:rsid w:val="004366EC"/>
    <w:rsid w:val="00445357"/>
    <w:rsid w:val="00452912"/>
    <w:rsid w:val="004563FA"/>
    <w:rsid w:val="00457D46"/>
    <w:rsid w:val="00460288"/>
    <w:rsid w:val="004604CE"/>
    <w:rsid w:val="004619FB"/>
    <w:rsid w:val="00462172"/>
    <w:rsid w:val="00464327"/>
    <w:rsid w:val="00465F1F"/>
    <w:rsid w:val="00467514"/>
    <w:rsid w:val="00471A0B"/>
    <w:rsid w:val="00492F29"/>
    <w:rsid w:val="00493BE0"/>
    <w:rsid w:val="00493C8E"/>
    <w:rsid w:val="004A00DC"/>
    <w:rsid w:val="004A2055"/>
    <w:rsid w:val="004B280B"/>
    <w:rsid w:val="004B3035"/>
    <w:rsid w:val="004B5E06"/>
    <w:rsid w:val="004F4270"/>
    <w:rsid w:val="00500822"/>
    <w:rsid w:val="00507FB9"/>
    <w:rsid w:val="00513665"/>
    <w:rsid w:val="00520FCA"/>
    <w:rsid w:val="00523F00"/>
    <w:rsid w:val="00527363"/>
    <w:rsid w:val="005372DC"/>
    <w:rsid w:val="00543A3E"/>
    <w:rsid w:val="00543F2B"/>
    <w:rsid w:val="00547C9D"/>
    <w:rsid w:val="00551C96"/>
    <w:rsid w:val="00552F93"/>
    <w:rsid w:val="005561FD"/>
    <w:rsid w:val="00564B3B"/>
    <w:rsid w:val="005650FA"/>
    <w:rsid w:val="00571579"/>
    <w:rsid w:val="00571D75"/>
    <w:rsid w:val="005720DD"/>
    <w:rsid w:val="00573D9E"/>
    <w:rsid w:val="00586C9D"/>
    <w:rsid w:val="005906FA"/>
    <w:rsid w:val="005A027A"/>
    <w:rsid w:val="005A1D1E"/>
    <w:rsid w:val="005C63D5"/>
    <w:rsid w:val="005D3120"/>
    <w:rsid w:val="005E2502"/>
    <w:rsid w:val="005F2CEE"/>
    <w:rsid w:val="005F31C5"/>
    <w:rsid w:val="005F529D"/>
    <w:rsid w:val="0060449F"/>
    <w:rsid w:val="00606881"/>
    <w:rsid w:val="00607B93"/>
    <w:rsid w:val="006148F9"/>
    <w:rsid w:val="00620BBB"/>
    <w:rsid w:val="00623CE3"/>
    <w:rsid w:val="00624AAB"/>
    <w:rsid w:val="00626C06"/>
    <w:rsid w:val="006272F2"/>
    <w:rsid w:val="006418D7"/>
    <w:rsid w:val="00654563"/>
    <w:rsid w:val="00654B24"/>
    <w:rsid w:val="00656FDB"/>
    <w:rsid w:val="00661B84"/>
    <w:rsid w:val="00666975"/>
    <w:rsid w:val="00674793"/>
    <w:rsid w:val="006772FE"/>
    <w:rsid w:val="00681644"/>
    <w:rsid w:val="006850BD"/>
    <w:rsid w:val="006946F3"/>
    <w:rsid w:val="00695C37"/>
    <w:rsid w:val="006A02DC"/>
    <w:rsid w:val="006B29B6"/>
    <w:rsid w:val="006C3AFC"/>
    <w:rsid w:val="006C4048"/>
    <w:rsid w:val="006D088D"/>
    <w:rsid w:val="006D30FE"/>
    <w:rsid w:val="006D42C1"/>
    <w:rsid w:val="006D790B"/>
    <w:rsid w:val="006E65D5"/>
    <w:rsid w:val="006F00B4"/>
    <w:rsid w:val="006F03DB"/>
    <w:rsid w:val="006F1B18"/>
    <w:rsid w:val="00715943"/>
    <w:rsid w:val="00717B5C"/>
    <w:rsid w:val="0072541A"/>
    <w:rsid w:val="0073328F"/>
    <w:rsid w:val="00742929"/>
    <w:rsid w:val="00742BB4"/>
    <w:rsid w:val="00755586"/>
    <w:rsid w:val="00771A9F"/>
    <w:rsid w:val="00772182"/>
    <w:rsid w:val="00782274"/>
    <w:rsid w:val="00786071"/>
    <w:rsid w:val="00796288"/>
    <w:rsid w:val="007A7AAB"/>
    <w:rsid w:val="007B4FE6"/>
    <w:rsid w:val="007D51DC"/>
    <w:rsid w:val="007D5DED"/>
    <w:rsid w:val="007E2A29"/>
    <w:rsid w:val="007F157F"/>
    <w:rsid w:val="008052B1"/>
    <w:rsid w:val="00816DDF"/>
    <w:rsid w:val="008172B3"/>
    <w:rsid w:val="0082109D"/>
    <w:rsid w:val="0083036E"/>
    <w:rsid w:val="00831658"/>
    <w:rsid w:val="00840D09"/>
    <w:rsid w:val="008428E6"/>
    <w:rsid w:val="00854863"/>
    <w:rsid w:val="00855790"/>
    <w:rsid w:val="008578CE"/>
    <w:rsid w:val="0086109D"/>
    <w:rsid w:val="0086137A"/>
    <w:rsid w:val="00875A00"/>
    <w:rsid w:val="00876635"/>
    <w:rsid w:val="00885772"/>
    <w:rsid w:val="00890A0A"/>
    <w:rsid w:val="0089727D"/>
    <w:rsid w:val="008A37E2"/>
    <w:rsid w:val="008A3AF8"/>
    <w:rsid w:val="008C3518"/>
    <w:rsid w:val="008C7C21"/>
    <w:rsid w:val="008D2F5D"/>
    <w:rsid w:val="009005E1"/>
    <w:rsid w:val="00902892"/>
    <w:rsid w:val="009036EB"/>
    <w:rsid w:val="009058E1"/>
    <w:rsid w:val="00907973"/>
    <w:rsid w:val="00913404"/>
    <w:rsid w:val="00913D0E"/>
    <w:rsid w:val="009209F3"/>
    <w:rsid w:val="00943539"/>
    <w:rsid w:val="009439D9"/>
    <w:rsid w:val="00955F07"/>
    <w:rsid w:val="009648BA"/>
    <w:rsid w:val="00975B8E"/>
    <w:rsid w:val="0098143E"/>
    <w:rsid w:val="00982809"/>
    <w:rsid w:val="00986153"/>
    <w:rsid w:val="009906CB"/>
    <w:rsid w:val="00991B38"/>
    <w:rsid w:val="00993A55"/>
    <w:rsid w:val="00995C4E"/>
    <w:rsid w:val="00997568"/>
    <w:rsid w:val="009B07BD"/>
    <w:rsid w:val="009B2AEF"/>
    <w:rsid w:val="009B67B3"/>
    <w:rsid w:val="009D2BF5"/>
    <w:rsid w:val="009D3F55"/>
    <w:rsid w:val="009E12E0"/>
    <w:rsid w:val="009E3369"/>
    <w:rsid w:val="009E4593"/>
    <w:rsid w:val="009E4F54"/>
    <w:rsid w:val="009E5F62"/>
    <w:rsid w:val="009F166F"/>
    <w:rsid w:val="009F1D92"/>
    <w:rsid w:val="00A011F0"/>
    <w:rsid w:val="00A23223"/>
    <w:rsid w:val="00A23503"/>
    <w:rsid w:val="00A25C9F"/>
    <w:rsid w:val="00A32553"/>
    <w:rsid w:val="00A3338D"/>
    <w:rsid w:val="00A36446"/>
    <w:rsid w:val="00A4007E"/>
    <w:rsid w:val="00A42E0C"/>
    <w:rsid w:val="00A4479B"/>
    <w:rsid w:val="00A45E5D"/>
    <w:rsid w:val="00A52CAA"/>
    <w:rsid w:val="00A63AF6"/>
    <w:rsid w:val="00A66792"/>
    <w:rsid w:val="00A66A96"/>
    <w:rsid w:val="00A73130"/>
    <w:rsid w:val="00A75EE0"/>
    <w:rsid w:val="00A8503E"/>
    <w:rsid w:val="00A90512"/>
    <w:rsid w:val="00AA5D48"/>
    <w:rsid w:val="00AC0E5B"/>
    <w:rsid w:val="00AC6B52"/>
    <w:rsid w:val="00AD7276"/>
    <w:rsid w:val="00AE0872"/>
    <w:rsid w:val="00AF210A"/>
    <w:rsid w:val="00AF4148"/>
    <w:rsid w:val="00B03E96"/>
    <w:rsid w:val="00B05463"/>
    <w:rsid w:val="00B20988"/>
    <w:rsid w:val="00B34969"/>
    <w:rsid w:val="00B41EB3"/>
    <w:rsid w:val="00B51C9F"/>
    <w:rsid w:val="00B52345"/>
    <w:rsid w:val="00B52F63"/>
    <w:rsid w:val="00B8104E"/>
    <w:rsid w:val="00B92C25"/>
    <w:rsid w:val="00B9499B"/>
    <w:rsid w:val="00BA00FC"/>
    <w:rsid w:val="00BA19A6"/>
    <w:rsid w:val="00BA4C90"/>
    <w:rsid w:val="00BB1883"/>
    <w:rsid w:val="00BB31E2"/>
    <w:rsid w:val="00BC2285"/>
    <w:rsid w:val="00BC243C"/>
    <w:rsid w:val="00BC2579"/>
    <w:rsid w:val="00BC544A"/>
    <w:rsid w:val="00BD32AD"/>
    <w:rsid w:val="00BE1ED5"/>
    <w:rsid w:val="00BF790F"/>
    <w:rsid w:val="00C11DAC"/>
    <w:rsid w:val="00C27976"/>
    <w:rsid w:val="00C43373"/>
    <w:rsid w:val="00C500E2"/>
    <w:rsid w:val="00C5156F"/>
    <w:rsid w:val="00C53822"/>
    <w:rsid w:val="00C62F45"/>
    <w:rsid w:val="00C73101"/>
    <w:rsid w:val="00C7486C"/>
    <w:rsid w:val="00C76AF9"/>
    <w:rsid w:val="00C86EA3"/>
    <w:rsid w:val="00C9438E"/>
    <w:rsid w:val="00C94920"/>
    <w:rsid w:val="00C94991"/>
    <w:rsid w:val="00C957F7"/>
    <w:rsid w:val="00CA4BC0"/>
    <w:rsid w:val="00CB24B6"/>
    <w:rsid w:val="00D067A4"/>
    <w:rsid w:val="00D069FA"/>
    <w:rsid w:val="00D16295"/>
    <w:rsid w:val="00D16F24"/>
    <w:rsid w:val="00D33981"/>
    <w:rsid w:val="00D41418"/>
    <w:rsid w:val="00D45F3C"/>
    <w:rsid w:val="00D5567F"/>
    <w:rsid w:val="00D71518"/>
    <w:rsid w:val="00D8425C"/>
    <w:rsid w:val="00D85C3B"/>
    <w:rsid w:val="00D90558"/>
    <w:rsid w:val="00D9550D"/>
    <w:rsid w:val="00DC093C"/>
    <w:rsid w:val="00DE0450"/>
    <w:rsid w:val="00DF03CC"/>
    <w:rsid w:val="00DF2B3E"/>
    <w:rsid w:val="00E0050F"/>
    <w:rsid w:val="00E224BF"/>
    <w:rsid w:val="00E226E5"/>
    <w:rsid w:val="00E30E12"/>
    <w:rsid w:val="00E33369"/>
    <w:rsid w:val="00E41323"/>
    <w:rsid w:val="00E50FA3"/>
    <w:rsid w:val="00E55213"/>
    <w:rsid w:val="00E60F78"/>
    <w:rsid w:val="00E7212D"/>
    <w:rsid w:val="00E95903"/>
    <w:rsid w:val="00EC0E7E"/>
    <w:rsid w:val="00EC172E"/>
    <w:rsid w:val="00EC2884"/>
    <w:rsid w:val="00ED192C"/>
    <w:rsid w:val="00EE4CE6"/>
    <w:rsid w:val="00EF63E9"/>
    <w:rsid w:val="00F07A7D"/>
    <w:rsid w:val="00F165C2"/>
    <w:rsid w:val="00F203EB"/>
    <w:rsid w:val="00F2584A"/>
    <w:rsid w:val="00F259DB"/>
    <w:rsid w:val="00F37DBD"/>
    <w:rsid w:val="00F45BDE"/>
    <w:rsid w:val="00F55BCA"/>
    <w:rsid w:val="00F878E9"/>
    <w:rsid w:val="00FB12F8"/>
    <w:rsid w:val="00FB2D34"/>
    <w:rsid w:val="00FC0F20"/>
    <w:rsid w:val="00FC69FE"/>
    <w:rsid w:val="00FC7ADD"/>
    <w:rsid w:val="00FD0381"/>
    <w:rsid w:val="00FD3B9A"/>
    <w:rsid w:val="00FD4D52"/>
    <w:rsid w:val="00FD55C7"/>
    <w:rsid w:val="00FE2124"/>
    <w:rsid w:val="00FE6415"/>
    <w:rsid w:val="00FF10B5"/>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3ABB2638"/>
  <w15:docId w15:val="{A57D1267-885D-49FF-AC83-9B9E102B27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43539"/>
    <w:pPr>
      <w:tabs>
        <w:tab w:val="center" w:pos="4680"/>
        <w:tab w:val="right" w:pos="9360"/>
      </w:tabs>
      <w:spacing w:after="0" w:line="240" w:lineRule="auto"/>
    </w:pPr>
  </w:style>
  <w:style w:type="character" w:customStyle="1" w:styleId="HeaderChar">
    <w:name w:val="Header Char"/>
    <w:basedOn w:val="DefaultParagraphFont"/>
    <w:link w:val="Header"/>
    <w:uiPriority w:val="99"/>
    <w:rsid w:val="00943539"/>
  </w:style>
  <w:style w:type="paragraph" w:styleId="Footer">
    <w:name w:val="footer"/>
    <w:basedOn w:val="Normal"/>
    <w:link w:val="FooterChar"/>
    <w:uiPriority w:val="99"/>
    <w:unhideWhenUsed/>
    <w:rsid w:val="00943539"/>
    <w:pPr>
      <w:tabs>
        <w:tab w:val="center" w:pos="4680"/>
        <w:tab w:val="right" w:pos="9360"/>
      </w:tabs>
      <w:spacing w:after="0" w:line="240" w:lineRule="auto"/>
    </w:pPr>
  </w:style>
  <w:style w:type="character" w:customStyle="1" w:styleId="FooterChar">
    <w:name w:val="Footer Char"/>
    <w:basedOn w:val="DefaultParagraphFont"/>
    <w:link w:val="Footer"/>
    <w:uiPriority w:val="99"/>
    <w:rsid w:val="00943539"/>
  </w:style>
  <w:style w:type="character" w:styleId="Hyperlink">
    <w:name w:val="Hyperlink"/>
    <w:basedOn w:val="DefaultParagraphFont"/>
    <w:uiPriority w:val="99"/>
    <w:unhideWhenUsed/>
    <w:rsid w:val="009D2BF5"/>
    <w:rPr>
      <w:color w:val="0563C1" w:themeColor="hyperlink"/>
      <w:u w:val="single"/>
    </w:rPr>
  </w:style>
  <w:style w:type="character" w:customStyle="1" w:styleId="UnresolvedMention1">
    <w:name w:val="Unresolved Mention1"/>
    <w:basedOn w:val="DefaultParagraphFont"/>
    <w:uiPriority w:val="99"/>
    <w:semiHidden/>
    <w:unhideWhenUsed/>
    <w:rsid w:val="009D2BF5"/>
    <w:rPr>
      <w:color w:val="605E5C"/>
      <w:shd w:val="clear" w:color="auto" w:fill="E1DFDD"/>
    </w:rPr>
  </w:style>
  <w:style w:type="paragraph" w:styleId="BalloonText">
    <w:name w:val="Balloon Text"/>
    <w:basedOn w:val="Normal"/>
    <w:link w:val="BalloonTextChar"/>
    <w:uiPriority w:val="99"/>
    <w:semiHidden/>
    <w:unhideWhenUsed/>
    <w:rsid w:val="00AE087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E0872"/>
    <w:rPr>
      <w:rFonts w:ascii="Tahoma" w:hAnsi="Tahoma" w:cs="Tahoma"/>
      <w:sz w:val="16"/>
      <w:szCs w:val="16"/>
    </w:rPr>
  </w:style>
  <w:style w:type="paragraph" w:styleId="ListParagraph">
    <w:name w:val="List Paragraph"/>
    <w:aliases w:val="2,Akapit z listą BS,Bullet 1,Bullet Points,Dot pt,F5 List Paragraph,IFCL - List Paragraph,Indicator Text,List Paragraph Char Char Char,List Paragraph1,List Paragraph12,MAIN CONTENT,Numbered Para 1,OBC Bullet,Punkti ar numuriem,Strip,Bull"/>
    <w:basedOn w:val="Normal"/>
    <w:link w:val="ListParagraphChar"/>
    <w:uiPriority w:val="34"/>
    <w:qFormat/>
    <w:rsid w:val="006F1B18"/>
    <w:pPr>
      <w:spacing w:after="200" w:line="276" w:lineRule="auto"/>
      <w:ind w:left="720"/>
      <w:contextualSpacing/>
    </w:pPr>
    <w:rPr>
      <w:lang w:val="lv-LV"/>
    </w:rPr>
  </w:style>
  <w:style w:type="character" w:styleId="CommentReference">
    <w:name w:val="annotation reference"/>
    <w:basedOn w:val="DefaultParagraphFont"/>
    <w:uiPriority w:val="99"/>
    <w:semiHidden/>
    <w:unhideWhenUsed/>
    <w:rsid w:val="00543A3E"/>
    <w:rPr>
      <w:sz w:val="16"/>
      <w:szCs w:val="16"/>
    </w:rPr>
  </w:style>
  <w:style w:type="paragraph" w:styleId="CommentText">
    <w:name w:val="annotation text"/>
    <w:basedOn w:val="Normal"/>
    <w:link w:val="CommentTextChar"/>
    <w:uiPriority w:val="99"/>
    <w:semiHidden/>
    <w:unhideWhenUsed/>
    <w:rsid w:val="00543A3E"/>
    <w:pPr>
      <w:spacing w:line="240" w:lineRule="auto"/>
    </w:pPr>
    <w:rPr>
      <w:sz w:val="20"/>
      <w:szCs w:val="20"/>
    </w:rPr>
  </w:style>
  <w:style w:type="character" w:customStyle="1" w:styleId="CommentTextChar">
    <w:name w:val="Comment Text Char"/>
    <w:basedOn w:val="DefaultParagraphFont"/>
    <w:link w:val="CommentText"/>
    <w:uiPriority w:val="99"/>
    <w:semiHidden/>
    <w:rsid w:val="00543A3E"/>
    <w:rPr>
      <w:sz w:val="20"/>
      <w:szCs w:val="20"/>
    </w:rPr>
  </w:style>
  <w:style w:type="paragraph" w:styleId="CommentSubject">
    <w:name w:val="annotation subject"/>
    <w:basedOn w:val="CommentText"/>
    <w:next w:val="CommentText"/>
    <w:link w:val="CommentSubjectChar"/>
    <w:uiPriority w:val="99"/>
    <w:semiHidden/>
    <w:unhideWhenUsed/>
    <w:rsid w:val="00543A3E"/>
    <w:rPr>
      <w:b/>
      <w:bCs/>
    </w:rPr>
  </w:style>
  <w:style w:type="character" w:customStyle="1" w:styleId="CommentSubjectChar">
    <w:name w:val="Comment Subject Char"/>
    <w:basedOn w:val="CommentTextChar"/>
    <w:link w:val="CommentSubject"/>
    <w:uiPriority w:val="99"/>
    <w:semiHidden/>
    <w:rsid w:val="00543A3E"/>
    <w:rPr>
      <w:b/>
      <w:bCs/>
      <w:sz w:val="20"/>
      <w:szCs w:val="20"/>
    </w:rPr>
  </w:style>
  <w:style w:type="character" w:styleId="UnresolvedMention">
    <w:name w:val="Unresolved Mention"/>
    <w:basedOn w:val="DefaultParagraphFont"/>
    <w:uiPriority w:val="99"/>
    <w:semiHidden/>
    <w:unhideWhenUsed/>
    <w:rsid w:val="0060449F"/>
    <w:rPr>
      <w:color w:val="605E5C"/>
      <w:shd w:val="clear" w:color="auto" w:fill="E1DFDD"/>
    </w:rPr>
  </w:style>
  <w:style w:type="paragraph" w:customStyle="1" w:styleId="Elektronikaisparaksts">
    <w:name w:val="Elektronikais paraksts"/>
    <w:autoRedefine/>
    <w:rsid w:val="00EC172E"/>
    <w:pPr>
      <w:spacing w:after="0" w:line="240" w:lineRule="auto"/>
      <w:jc w:val="center"/>
    </w:pPr>
    <w:rPr>
      <w:rFonts w:ascii="Arial" w:eastAsia="Times New Roman" w:hAnsi="Arial" w:cs="Arial"/>
      <w:b/>
      <w:lang w:val="lv-LV"/>
    </w:rPr>
  </w:style>
  <w:style w:type="character" w:customStyle="1" w:styleId="Bodytext">
    <w:name w:val="Body text_"/>
    <w:link w:val="BodyText1"/>
    <w:locked/>
    <w:rsid w:val="005F31C5"/>
    <w:rPr>
      <w:shd w:val="clear" w:color="auto" w:fill="FFFFFF"/>
    </w:rPr>
  </w:style>
  <w:style w:type="paragraph" w:customStyle="1" w:styleId="BodyText1">
    <w:name w:val="Body Text1"/>
    <w:basedOn w:val="Normal"/>
    <w:link w:val="Bodytext"/>
    <w:rsid w:val="005F31C5"/>
    <w:pPr>
      <w:widowControl w:val="0"/>
      <w:shd w:val="clear" w:color="auto" w:fill="FFFFFF"/>
      <w:spacing w:after="60" w:line="0" w:lineRule="atLeast"/>
      <w:ind w:hanging="360"/>
      <w:jc w:val="center"/>
    </w:pPr>
  </w:style>
  <w:style w:type="character" w:customStyle="1" w:styleId="ListParagraphChar">
    <w:name w:val="List Paragraph Char"/>
    <w:aliases w:val="2 Char,Akapit z listą BS Char,Bullet 1 Char,Bullet Points Char,Dot pt Char,F5 List Paragraph Char,IFCL - List Paragraph Char,Indicator Text Char,List Paragraph Char Char Char Char,List Paragraph1 Char,List Paragraph12 Char,Strip Char"/>
    <w:link w:val="ListParagraph"/>
    <w:uiPriority w:val="34"/>
    <w:qFormat/>
    <w:locked/>
    <w:rsid w:val="00B52F63"/>
    <w:rPr>
      <w:lang w:val="lv-LV"/>
    </w:rPr>
  </w:style>
  <w:style w:type="paragraph" w:styleId="FootnoteText">
    <w:name w:val="footnote text"/>
    <w:basedOn w:val="Normal"/>
    <w:link w:val="FootnoteTextChar"/>
    <w:uiPriority w:val="99"/>
    <w:semiHidden/>
    <w:unhideWhenUsed/>
    <w:rsid w:val="00162312"/>
    <w:pPr>
      <w:spacing w:after="0" w:line="240" w:lineRule="auto"/>
    </w:pPr>
    <w:rPr>
      <w:sz w:val="20"/>
      <w:szCs w:val="20"/>
      <w:lang w:val="lv-LV"/>
    </w:rPr>
  </w:style>
  <w:style w:type="character" w:customStyle="1" w:styleId="FootnoteTextChar">
    <w:name w:val="Footnote Text Char"/>
    <w:basedOn w:val="DefaultParagraphFont"/>
    <w:link w:val="FootnoteText"/>
    <w:uiPriority w:val="99"/>
    <w:semiHidden/>
    <w:rsid w:val="00162312"/>
    <w:rPr>
      <w:sz w:val="20"/>
      <w:szCs w:val="20"/>
      <w:lang w:val="lv-LV"/>
    </w:rPr>
  </w:style>
  <w:style w:type="character" w:styleId="FootnoteReference">
    <w:name w:val="footnote reference"/>
    <w:basedOn w:val="DefaultParagraphFont"/>
    <w:uiPriority w:val="99"/>
    <w:semiHidden/>
    <w:unhideWhenUsed/>
    <w:rsid w:val="00162312"/>
    <w:rPr>
      <w:vertAlign w:val="superscript"/>
    </w:rPr>
  </w:style>
  <w:style w:type="paragraph" w:styleId="NormalWeb">
    <w:name w:val="Normal (Web)"/>
    <w:basedOn w:val="Normal"/>
    <w:uiPriority w:val="99"/>
    <w:unhideWhenUsed/>
    <w:rsid w:val="00C5156F"/>
    <w:pPr>
      <w:spacing w:before="100" w:beforeAutospacing="1" w:after="100" w:afterAutospacing="1" w:line="240" w:lineRule="auto"/>
    </w:pPr>
    <w:rPr>
      <w:rFonts w:ascii="Times New Roman" w:eastAsia="Times New Roman" w:hAnsi="Times New Roman" w:cs="Times New Roman"/>
      <w:sz w:val="24"/>
      <w:szCs w:val="24"/>
      <w:lang w:val="lv-LV" w:eastAsia="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numbering" Target="numbering.xml" /><Relationship Id="rId1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hyperlink" Target="mailto:signe.koritko@llsa.eu" TargetMode="External" /><Relationship Id="rId7" Type="http://schemas.openxmlformats.org/officeDocument/2006/relationships/header" Target="header1.xml" /><Relationship Id="rId8" Type="http://schemas.openxmlformats.org/officeDocument/2006/relationships/footer" Target="footer1.xml" /><Relationship Id="rId9" Type="http://schemas.openxmlformats.org/officeDocument/2006/relationships/theme" Target="theme/theme1.xml" /></Relationships>
</file>

<file path=word/_rels/fontTable.xml.rels><?xml version="1.0" encoding="utf-8" standalone="yes"?><Relationships xmlns="http://schemas.openxmlformats.org/package/2006/relationships"><Relationship Id="rId1" Type="http://schemas.openxmlformats.org/officeDocument/2006/relationships/font" Target="fonts/font1.odttf" /><Relationship Id="rId2" Type="http://schemas.openxmlformats.org/officeDocument/2006/relationships/font" Target="fonts/font2.odttf" /><Relationship Id="rId3" Type="http://schemas.openxmlformats.org/officeDocument/2006/relationships/font" Target="fonts/font3.odttf" /></Relationships>
</file>

<file path=word/_rels/footnotes.xml.rels><?xml version="1.0" encoding="utf-8" standalone="yes"?><Relationships xmlns="http://schemas.openxmlformats.org/package/2006/relationships"><Relationship Id="rId1" Type="http://schemas.openxmlformats.org/officeDocument/2006/relationships/hyperlink" Target="https://tapportals.mk.gov.lv/legal_acts/0aa540e4-0d3b-4fb5-b121-d373da645808" TargetMode="External"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 Id="rId2" Type="http://schemas.openxmlformats.org/officeDocument/2006/relationships/image" Target="media/image2.svg" /><Relationship Id="rId3" Type="http://schemas.openxmlformats.org/officeDocument/2006/relationships/image" Target="media/image3.png" /><Relationship Id="rId4" Type="http://schemas.openxmlformats.org/officeDocument/2006/relationships/image" Target="media/image4.svg" /><Relationship Id="rId5" Type="http://schemas.openxmlformats.org/officeDocument/2006/relationships/image" Target="media/image5.png" /><Relationship Id="rId6" Type="http://schemas.openxmlformats.org/officeDocument/2006/relationships/image" Target="media/image6.png" /><Relationship Id="rId7" Type="http://schemas.openxmlformats.org/officeDocument/2006/relationships/image" Target="media/image7.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F7433E3-FD62-4BF6-A54D-239E8B22E9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37</TotalTime>
  <Pages>2</Pages>
  <Words>3007</Words>
  <Characters>1714</Characters>
  <Application>Microsoft Office Word</Application>
  <DocSecurity>0</DocSecurity>
  <Lines>14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Signe Koritko</dc:creator>
  <cp:lastModifiedBy>Signe Koritko</cp:lastModifiedBy>
  <cp:revision>50</cp:revision>
  <dcterms:created xsi:type="dcterms:W3CDTF">2021-03-29T07:11:00Z</dcterms:created>
  <dcterms:modified xsi:type="dcterms:W3CDTF">2025-07-11T07:56:00Z</dcterms:modified>
</cp:coreProperties>
</file>