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07836" w14:textId="77777777" w:rsidR="0064450E" w:rsidRDefault="0064450E" w:rsidP="00714AA2">
      <w:pPr>
        <w:rPr>
          <w:szCs w:val="24"/>
        </w:rPr>
      </w:pPr>
    </w:p>
    <w:p w14:paraId="5F6A8E23" w14:textId="383015B0" w:rsidR="00714AA2" w:rsidRDefault="00714AA2" w:rsidP="00714AA2">
      <w:pPr>
        <w:rPr>
          <w:szCs w:val="24"/>
        </w:rPr>
      </w:pPr>
      <w:r w:rsidRPr="00F70F03">
        <w:rPr>
          <w:szCs w:val="24"/>
        </w:rPr>
        <w:t xml:space="preserve">Uz </w:t>
      </w:r>
      <w:r w:rsidR="00086CB0">
        <w:rPr>
          <w:szCs w:val="24"/>
        </w:rPr>
        <w:t>27</w:t>
      </w:r>
      <w:r w:rsidR="00D679B8">
        <w:rPr>
          <w:szCs w:val="24"/>
        </w:rPr>
        <w:t>.</w:t>
      </w:r>
      <w:r w:rsidR="00890B83">
        <w:rPr>
          <w:szCs w:val="24"/>
        </w:rPr>
        <w:t>04</w:t>
      </w:r>
      <w:r w:rsidR="00D679B8">
        <w:rPr>
          <w:szCs w:val="24"/>
        </w:rPr>
        <w:t>.202</w:t>
      </w:r>
      <w:r w:rsidR="00890B83">
        <w:rPr>
          <w:szCs w:val="24"/>
        </w:rPr>
        <w:t>1</w:t>
      </w:r>
      <w:r w:rsidR="009D2227" w:rsidRPr="00F70F03">
        <w:rPr>
          <w:szCs w:val="24"/>
        </w:rPr>
        <w:t xml:space="preserve">. </w:t>
      </w:r>
      <w:r w:rsidR="00D679B8">
        <w:rPr>
          <w:szCs w:val="24"/>
        </w:rPr>
        <w:t>Nr. </w:t>
      </w:r>
      <w:r w:rsidR="00086CB0">
        <w:rPr>
          <w:szCs w:val="24"/>
        </w:rPr>
        <w:t>2.1-19/17/2388</w:t>
      </w:r>
    </w:p>
    <w:p w14:paraId="09539F4E" w14:textId="75A0894E" w:rsidR="00421784" w:rsidRDefault="00421784" w:rsidP="00714AA2">
      <w:pPr>
        <w:rPr>
          <w:szCs w:val="24"/>
        </w:rPr>
      </w:pPr>
    </w:p>
    <w:p w14:paraId="2AC05F70" w14:textId="77777777" w:rsidR="0064450E" w:rsidRPr="00F70F03" w:rsidRDefault="0064450E" w:rsidP="00714AA2">
      <w:pPr>
        <w:rPr>
          <w:szCs w:val="24"/>
        </w:rPr>
      </w:pPr>
    </w:p>
    <w:p w14:paraId="3596F37E" w14:textId="3D477074" w:rsidR="00714AA2" w:rsidRDefault="00EA031C" w:rsidP="0D55B7E6">
      <w:pPr>
        <w:ind w:firstLine="720"/>
        <w:jc w:val="right"/>
        <w:rPr>
          <w:b/>
          <w:bCs/>
          <w:noProof/>
        </w:rPr>
      </w:pPr>
      <w:r>
        <w:rPr>
          <w:b/>
          <w:bCs/>
          <w:noProof/>
        </w:rPr>
        <w:t>Finanšu</w:t>
      </w:r>
      <w:r w:rsidR="00714AA2" w:rsidRPr="0D55B7E6">
        <w:rPr>
          <w:b/>
          <w:bCs/>
          <w:noProof/>
        </w:rPr>
        <w:t xml:space="preserve"> ministrijai</w:t>
      </w:r>
    </w:p>
    <w:p w14:paraId="44B0299C" w14:textId="77777777" w:rsidR="00421784" w:rsidRPr="00DF6A44" w:rsidRDefault="00421784" w:rsidP="0D55B7E6">
      <w:pPr>
        <w:ind w:firstLine="720"/>
        <w:jc w:val="right"/>
        <w:rPr>
          <w:b/>
          <w:bCs/>
          <w:noProof/>
        </w:rPr>
      </w:pPr>
    </w:p>
    <w:p w14:paraId="672A6659" w14:textId="77777777" w:rsidR="00714AA2" w:rsidRPr="00DF6A44" w:rsidRDefault="00714AA2" w:rsidP="00714AA2">
      <w:pPr>
        <w:ind w:firstLine="720"/>
        <w:jc w:val="right"/>
        <w:rPr>
          <w:b/>
          <w:noProof/>
          <w:szCs w:val="24"/>
        </w:rPr>
      </w:pPr>
    </w:p>
    <w:p w14:paraId="58D4CE32" w14:textId="022AD1E2" w:rsidR="00575FF9" w:rsidRDefault="00575FF9" w:rsidP="0D55B7E6">
      <w:pPr>
        <w:pStyle w:val="NormalWeb"/>
        <w:spacing w:before="0" w:after="0"/>
        <w:ind w:right="4690"/>
        <w:jc w:val="both"/>
        <w:rPr>
          <w:i/>
          <w:iCs/>
        </w:rPr>
      </w:pPr>
      <w:r w:rsidRPr="0D55B7E6">
        <w:rPr>
          <w:i/>
          <w:iCs/>
        </w:rPr>
        <w:t xml:space="preserve">Par </w:t>
      </w:r>
      <w:r w:rsidR="00086CB0">
        <w:rPr>
          <w:i/>
          <w:iCs/>
        </w:rPr>
        <w:t>likumprojektu "Kolektīvās finansēšanas pakalpojumu likums" un "Grozījumi Finanšu instrumentu tirgus likumā"</w:t>
      </w:r>
    </w:p>
    <w:p w14:paraId="4E89B27B" w14:textId="77777777" w:rsidR="0064450E" w:rsidRPr="00575FF9" w:rsidRDefault="0064450E" w:rsidP="0D55B7E6">
      <w:pPr>
        <w:pStyle w:val="NormalWeb"/>
        <w:spacing w:before="0" w:after="0"/>
        <w:ind w:right="4690"/>
        <w:jc w:val="both"/>
        <w:rPr>
          <w:i/>
          <w:iCs/>
        </w:rPr>
      </w:pPr>
    </w:p>
    <w:p w14:paraId="5DAB6C7B" w14:textId="77777777" w:rsidR="00575FF9" w:rsidRDefault="00575FF9" w:rsidP="009F7532">
      <w:pPr>
        <w:pStyle w:val="NormalWeb"/>
        <w:spacing w:before="0" w:after="0"/>
        <w:ind w:right="13"/>
        <w:jc w:val="both"/>
      </w:pPr>
    </w:p>
    <w:p w14:paraId="1E8DCAFC" w14:textId="1DAE12EA" w:rsidR="00086CB0" w:rsidRDefault="00714AA2" w:rsidP="00086CB0">
      <w:pPr>
        <w:pStyle w:val="NormalWeb"/>
        <w:spacing w:before="0" w:after="0"/>
        <w:ind w:right="13" w:firstLine="567"/>
        <w:jc w:val="both"/>
      </w:pPr>
      <w:r>
        <w:t xml:space="preserve">Tieslietu ministrija ir izskatījusi </w:t>
      </w:r>
      <w:r w:rsidR="00EA031C">
        <w:t>Finanšu</w:t>
      </w:r>
      <w:r w:rsidR="6986F8FD">
        <w:t xml:space="preserve"> ministrijas sagatavoto</w:t>
      </w:r>
      <w:r w:rsidR="00086CB0">
        <w:t>s</w:t>
      </w:r>
      <w:r w:rsidR="6986F8FD">
        <w:t xml:space="preserve"> </w:t>
      </w:r>
      <w:r w:rsidR="00086CB0">
        <w:t>likumprojektus</w:t>
      </w:r>
      <w:r w:rsidR="6986F8FD">
        <w:t xml:space="preserve"> </w:t>
      </w:r>
      <w:r w:rsidR="00086CB0">
        <w:t>"Kolektīvās finansēšanas pakalpojumu likums</w:t>
      </w:r>
      <w:r w:rsidR="00211323">
        <w:t>"</w:t>
      </w:r>
      <w:r w:rsidR="00086CB0">
        <w:t xml:space="preserve"> un "Grozījumi Finanšu instrumentu tirgus likumā"</w:t>
      </w:r>
      <w:r w:rsidR="6986F8FD">
        <w:t xml:space="preserve"> </w:t>
      </w:r>
      <w:r w:rsidR="53331F76">
        <w:t>un t</w:t>
      </w:r>
      <w:r w:rsidR="00086CB0">
        <w:t>o</w:t>
      </w:r>
      <w:r w:rsidR="53331F76">
        <w:t xml:space="preserve"> sākotnējās ietekmes novērtējuma ziņojumu</w:t>
      </w:r>
      <w:r w:rsidR="00086CB0">
        <w:t>s</w:t>
      </w:r>
      <w:r w:rsidR="53331F76">
        <w:t xml:space="preserve"> (ano</w:t>
      </w:r>
      <w:r w:rsidR="56D18AD9">
        <w:t>t</w:t>
      </w:r>
      <w:r w:rsidR="53331F76">
        <w:t>ācij</w:t>
      </w:r>
      <w:r w:rsidR="00086CB0">
        <w:t>as</w:t>
      </w:r>
      <w:r w:rsidR="53331F76">
        <w:t>),</w:t>
      </w:r>
      <w:r>
        <w:t xml:space="preserve"> un atbalsta </w:t>
      </w:r>
      <w:r w:rsidR="00086CB0">
        <w:t>likumprojektu</w:t>
      </w:r>
      <w:r>
        <w:t xml:space="preserve"> </w:t>
      </w:r>
      <w:r w:rsidR="002F72AF">
        <w:t xml:space="preserve">tālāku </w:t>
      </w:r>
      <w:r>
        <w:t>virzību</w:t>
      </w:r>
      <w:r w:rsidR="00890B83">
        <w:t>, izsakot šādu</w:t>
      </w:r>
      <w:r w:rsidR="00086CB0">
        <w:t>s</w:t>
      </w:r>
      <w:r w:rsidR="00890B83">
        <w:t xml:space="preserve"> iebildumu</w:t>
      </w:r>
      <w:r w:rsidR="00086CB0">
        <w:t>s un priekšlikumus</w:t>
      </w:r>
      <w:r w:rsidR="00682A7F">
        <w:t>.</w:t>
      </w:r>
    </w:p>
    <w:p w14:paraId="1D3B0B96" w14:textId="68BAC35A" w:rsidR="00086CB0" w:rsidRDefault="00086CB0" w:rsidP="00086CB0">
      <w:pPr>
        <w:pStyle w:val="NormalWeb"/>
        <w:spacing w:before="0" w:after="0"/>
        <w:ind w:right="13" w:firstLine="567"/>
        <w:jc w:val="both"/>
        <w:rPr>
          <w:u w:val="single"/>
        </w:rPr>
      </w:pPr>
      <w:r w:rsidRPr="00086CB0">
        <w:rPr>
          <w:u w:val="single"/>
        </w:rPr>
        <w:t>Par likumprojektu "Kolektīvās finansēšanas pakalpojumu likums" (turpmāk – likumprojekts) izsakām šādus iebildumus:</w:t>
      </w:r>
    </w:p>
    <w:p w14:paraId="5FE54057" w14:textId="76F2D739" w:rsidR="006F2713" w:rsidRPr="006F2713" w:rsidRDefault="006F2713" w:rsidP="005C1DCB">
      <w:pPr>
        <w:pStyle w:val="NormalWeb"/>
        <w:numPr>
          <w:ilvl w:val="0"/>
          <w:numId w:val="7"/>
        </w:numPr>
        <w:spacing w:before="0" w:after="0"/>
        <w:ind w:left="0" w:firstLine="720"/>
        <w:jc w:val="both"/>
      </w:pPr>
      <w:r w:rsidRPr="006F2713">
        <w:t>Ministru kabineta 2009. gada 15. decembra instrukcijas Nr. 19 "Tiesību akta projekta sākotnējās ietekmes izvērtēšanas kārtība"</w:t>
      </w:r>
      <w:r>
        <w:t xml:space="preserve"> 56. punkts noteic, ka anotācijas V sadaļas 1. tabulā ("Tiesību akta projekta atbilstība ES tiesību aktiem") raksturo projekta atbilstības pakāpi ES tiesību aktiem, kas norādīti saskaņā ar šīs instrukcijas 55.1. apakšpunktu. Lūdzam aizpildīt anotācijas V sadaļas 1. pielikumu.</w:t>
      </w:r>
    </w:p>
    <w:p w14:paraId="137AE74A" w14:textId="77777777" w:rsidR="006F2713" w:rsidRDefault="006A517D" w:rsidP="005C1DCB">
      <w:pPr>
        <w:pStyle w:val="NoSpacing"/>
        <w:numPr>
          <w:ilvl w:val="0"/>
          <w:numId w:val="7"/>
        </w:numPr>
        <w:ind w:left="0" w:firstLine="720"/>
        <w:jc w:val="both"/>
        <w:rPr>
          <w:rFonts w:ascii="Times New Roman" w:hAnsi="Times New Roman"/>
          <w:sz w:val="24"/>
          <w:szCs w:val="24"/>
          <w:lang w:val="lv-LV"/>
        </w:rPr>
      </w:pPr>
      <w:r>
        <w:rPr>
          <w:rFonts w:ascii="Times New Roman" w:hAnsi="Times New Roman"/>
          <w:sz w:val="24"/>
          <w:szCs w:val="24"/>
          <w:lang w:val="lv-LV"/>
        </w:rPr>
        <w:t xml:space="preserve">Likumprojekta 7. panta otrā daļa noteic, ka kolektīvās finansēšanas pakalpojumu sniedzējam ir pienākums rīkoties kā godīgam un rūpīgam saimniekam un nodrošināt sniegtos pakalpojumus ar pienācīgu profesionalitāti un rūpību klientu interesēs. </w:t>
      </w:r>
      <w:r w:rsidR="006F2713">
        <w:rPr>
          <w:rFonts w:ascii="Times New Roman" w:hAnsi="Times New Roman"/>
          <w:sz w:val="24"/>
          <w:szCs w:val="24"/>
          <w:lang w:val="lv-LV"/>
        </w:rPr>
        <w:t>Savukārt Civillikums satur jēdzienu "krietns un rūpīgs saimnieks". Lūdzam skaidrot anotācijā atšķirību ģenerālklauzulu izmantošanu, kā arī skaidrot, kura ģenerālklauzula būtu piemērojama.</w:t>
      </w:r>
    </w:p>
    <w:p w14:paraId="7D383F52" w14:textId="043F826B" w:rsidR="00086CB0" w:rsidRPr="006F2713" w:rsidRDefault="00086CB0" w:rsidP="005C1DCB">
      <w:pPr>
        <w:pStyle w:val="NoSpacing"/>
        <w:numPr>
          <w:ilvl w:val="0"/>
          <w:numId w:val="7"/>
        </w:numPr>
        <w:ind w:left="0" w:firstLine="720"/>
        <w:jc w:val="both"/>
        <w:rPr>
          <w:rFonts w:ascii="Times New Roman" w:hAnsi="Times New Roman"/>
          <w:sz w:val="24"/>
          <w:szCs w:val="24"/>
          <w:lang w:val="lv-LV"/>
        </w:rPr>
      </w:pPr>
      <w:r w:rsidRPr="006F2713">
        <w:rPr>
          <w:rFonts w:ascii="Times New Roman" w:hAnsi="Times New Roman"/>
          <w:sz w:val="24"/>
          <w:szCs w:val="24"/>
          <w:lang w:val="lv-LV"/>
        </w:rPr>
        <w:t xml:space="preserve">Likumprojekta 7. panta trešā daļa noteic, ka kolektīvās finansēšanas pakalpojumu sniedzējs tā darbības laikā ievēro Eiropas Parlamenta un Padomes 2020. gada 7. oktobra regulas Nr. 2020/1503 par Eiropas kolektīvās finansēšanas pakalpojumu sniedzējiem uzņēmējdarbībai un ar ko groza Regulu (ES) 2017/1129 un Direktīvu (ES) 2019/1937, likumprojekta, citu Eiropas Savienībā tieši piemērojamo normatīvo aktu kolektīvās finansēšanas jomā, Finanšu un kapitāla tirgus komisijas, Eiropas Vērtspapīru un tirgu iestādes un Eiropas Banku iestādes izdoto noteikumu un ieteikumu prasības, kas regulē kolektīvās finansēšanas pakalpojumu sniedzēju darbību. Nacionālajos normatīvajos aktos nav iespējams juridiski korekti izdarīt atsauces uz starptautisko tiesību dokumentiem, kas nav saistoši Latvijai, nav tulkoti latviešu valodā un attiecīgi publiskoti, kā arī nav iespējams izveidot juridiski </w:t>
      </w:r>
      <w:r w:rsidRPr="006F2713">
        <w:rPr>
          <w:rFonts w:ascii="Times New Roman" w:hAnsi="Times New Roman"/>
          <w:sz w:val="24"/>
          <w:szCs w:val="24"/>
          <w:lang w:val="lv-LV"/>
        </w:rPr>
        <w:lastRenderedPageBreak/>
        <w:t>korektas atsauces uz tā saucamo "</w:t>
      </w:r>
      <w:proofErr w:type="spellStart"/>
      <w:r w:rsidRPr="006F2713">
        <w:rPr>
          <w:rFonts w:ascii="Times New Roman" w:hAnsi="Times New Roman"/>
          <w:sz w:val="24"/>
          <w:szCs w:val="24"/>
          <w:lang w:val="lv-LV"/>
        </w:rPr>
        <w:t>soft</w:t>
      </w:r>
      <w:proofErr w:type="spellEnd"/>
      <w:r w:rsidRPr="006F2713">
        <w:rPr>
          <w:rFonts w:ascii="Times New Roman" w:hAnsi="Times New Roman"/>
          <w:sz w:val="24"/>
          <w:szCs w:val="24"/>
          <w:lang w:val="lv-LV"/>
        </w:rPr>
        <w:t xml:space="preserve"> </w:t>
      </w:r>
      <w:proofErr w:type="spellStart"/>
      <w:r w:rsidRPr="006F2713">
        <w:rPr>
          <w:rFonts w:ascii="Times New Roman" w:hAnsi="Times New Roman"/>
          <w:sz w:val="24"/>
          <w:szCs w:val="24"/>
          <w:lang w:val="lv-LV"/>
        </w:rPr>
        <w:t>law</w:t>
      </w:r>
      <w:proofErr w:type="spellEnd"/>
      <w:r w:rsidRPr="006F2713">
        <w:rPr>
          <w:rFonts w:ascii="Times New Roman" w:hAnsi="Times New Roman"/>
          <w:sz w:val="24"/>
          <w:szCs w:val="24"/>
          <w:lang w:val="lv-LV"/>
        </w:rPr>
        <w:t>" (dokumentiem, kas jau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14:paraId="71E23814" w14:textId="77777777" w:rsidR="00086CB0" w:rsidRPr="00086CB0" w:rsidRDefault="00086CB0" w:rsidP="00086CB0">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Vienlaikus norādām, ka ar likumprojektu Finanšu un kapitāla tirgus izdotus ieteikumus, kas nav juridiski saistoši, nevar padarīt par saistošiem privātpersonām.</w:t>
      </w:r>
    </w:p>
    <w:p w14:paraId="3FEF87E4" w14:textId="4552AC54" w:rsidR="006F2713" w:rsidRDefault="00086CB0" w:rsidP="006F2713">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Ņemot vērā minēto, lūdzam likumprojekta 7. panta trešajā daļā izslēgt atsauces uz juridiski nesaistošajiem dokumentiem.</w:t>
      </w:r>
    </w:p>
    <w:p w14:paraId="0FA9F8CC" w14:textId="726B4CC3" w:rsidR="005C1DCB" w:rsidRDefault="005C1DCB" w:rsidP="006F2713">
      <w:pPr>
        <w:pStyle w:val="NoSpacing"/>
        <w:ind w:firstLine="720"/>
        <w:jc w:val="both"/>
        <w:rPr>
          <w:rFonts w:ascii="Times New Roman" w:hAnsi="Times New Roman"/>
          <w:sz w:val="24"/>
          <w:szCs w:val="24"/>
          <w:lang w:val="lv-LV"/>
        </w:rPr>
      </w:pPr>
      <w:r>
        <w:rPr>
          <w:rFonts w:ascii="Times New Roman" w:hAnsi="Times New Roman"/>
          <w:sz w:val="24"/>
          <w:szCs w:val="24"/>
          <w:lang w:val="lv-LV"/>
        </w:rPr>
        <w:t>4. Likumprojekta 8. panta pirmā daļa satur jēdzienu "projekta īpašnieks". Vēršam uzmanību, ka Latvijas civiltiesību sistēmā ar jēdzienu "īpašnieks" apzīmē</w:t>
      </w:r>
      <w:r w:rsidR="008E00CE">
        <w:rPr>
          <w:rFonts w:ascii="Times New Roman" w:hAnsi="Times New Roman"/>
          <w:sz w:val="24"/>
          <w:szCs w:val="24"/>
          <w:lang w:val="lv-LV"/>
        </w:rPr>
        <w:t xml:space="preserve"> personas, kam pieder īpašuma tiesības, statusu. Lūdzam skaidrot, kādā nozīmē izmantojams Likumprojekta 8. panta pirmajā daļā izmantotais jēdziens.</w:t>
      </w:r>
    </w:p>
    <w:p w14:paraId="03DB7E12" w14:textId="5AA0B298" w:rsidR="00086CB0" w:rsidRPr="005C1DCB" w:rsidRDefault="00BD0100" w:rsidP="006F2713">
      <w:pPr>
        <w:pStyle w:val="NoSpacing"/>
        <w:ind w:firstLine="720"/>
        <w:jc w:val="both"/>
        <w:rPr>
          <w:rFonts w:ascii="Times New Roman" w:hAnsi="Times New Roman"/>
          <w:sz w:val="24"/>
          <w:szCs w:val="24"/>
          <w:lang w:val="lv-LV"/>
        </w:rPr>
      </w:pPr>
      <w:r>
        <w:rPr>
          <w:rFonts w:ascii="Times New Roman" w:hAnsi="Times New Roman"/>
          <w:sz w:val="24"/>
          <w:szCs w:val="24"/>
          <w:lang w:val="lv-LV"/>
        </w:rPr>
        <w:t>5</w:t>
      </w:r>
      <w:r w:rsidR="006F2713" w:rsidRPr="005C1DCB">
        <w:rPr>
          <w:rFonts w:ascii="Times New Roman" w:hAnsi="Times New Roman"/>
          <w:sz w:val="24"/>
          <w:szCs w:val="24"/>
          <w:lang w:val="lv-LV"/>
        </w:rPr>
        <w:t xml:space="preserve">. </w:t>
      </w:r>
      <w:r w:rsidR="00086CB0" w:rsidRPr="005C1DCB">
        <w:rPr>
          <w:rFonts w:ascii="Times New Roman" w:hAnsi="Times New Roman"/>
          <w:sz w:val="24"/>
          <w:szCs w:val="24"/>
          <w:lang w:val="lv-LV"/>
        </w:rPr>
        <w:t>Lūdzam izvērtēt likumprojektā paredzēto pasākumu raksturu</w:t>
      </w:r>
      <w:r w:rsidR="00086CB0" w:rsidRPr="005C1DCB">
        <w:rPr>
          <w:rFonts w:ascii="Times New Roman" w:hAnsi="Times New Roman"/>
          <w:sz w:val="24"/>
          <w:szCs w:val="24"/>
        </w:rPr>
        <w:t xml:space="preserve"> un norobežot vispārīgās uzraudzības regulējumu no atbildības (sankciju) regulējuma.</w:t>
      </w:r>
    </w:p>
    <w:p w14:paraId="16803456" w14:textId="5DD9396D" w:rsidR="00086CB0" w:rsidRDefault="00BD0100" w:rsidP="00086CB0">
      <w:pPr>
        <w:ind w:firstLine="720"/>
      </w:pPr>
      <w:r>
        <w:rPr>
          <w:szCs w:val="24"/>
        </w:rPr>
        <w:t>5</w:t>
      </w:r>
      <w:r w:rsidR="00086CB0" w:rsidRPr="00086CB0">
        <w:rPr>
          <w:szCs w:val="24"/>
        </w:rPr>
        <w:t>.1. Likumprojekta IV nodaļas nosaukums ir "Kolektīvās finansēšanas pakalpojumu sniedzēja darbības uzraudzība un atbildība". Saskaņā ar Ministru kabineta 2009. gada 3. februāra noteikumu Nr. 108 "Normatīvo aktu projektu sagatavošanas noteikumi" (turpmāk – sagatavošanas noteikumi) 17. punktu nodaļā var apvienot likumprojekta pantus, kas attiecas uz vienu regulējamo jautājumu. Tāpat nodaļas nosaukumam ir jāatbilst tās saturam. Nodaļas nosaukumam jāaptver visi nodaļā ietvertie panti, un tas nedrīkst sakrist ar kāda no panta nosaukumiem (</w:t>
      </w:r>
      <w:r w:rsidR="00086CB0" w:rsidRPr="00086CB0">
        <w:rPr>
          <w:i/>
          <w:iCs/>
          <w:szCs w:val="24"/>
        </w:rPr>
        <w:t>Krūmiņa V., Skujiņa V. Normatīvo aktu izs</w:t>
      </w:r>
      <w:r w:rsidR="00086CB0">
        <w:rPr>
          <w:i/>
          <w:iCs/>
        </w:rPr>
        <w:t>trādes rokasgrāmata. Rīga: [B. i.], 2002, 18. lpp.</w:t>
      </w:r>
      <w:r w:rsidR="00086CB0">
        <w:t>).</w:t>
      </w:r>
    </w:p>
    <w:p w14:paraId="4F6478C5" w14:textId="77777777" w:rsidR="00086CB0" w:rsidRDefault="00086CB0" w:rsidP="00086CB0">
      <w:pPr>
        <w:ind w:firstLine="720"/>
      </w:pPr>
      <w:r>
        <w:t>Likumprojekta IV nodaļā ir iekļauts gan kolektīvās finansēšanas pakalpojumu sniedzēja darbības uzraudzības regulējums, gan arī regulējums, kas saistīts ar atbildību (sankcijām).</w:t>
      </w:r>
    </w:p>
    <w:p w14:paraId="5C79F9E0" w14:textId="77777777" w:rsidR="00086CB0" w:rsidRDefault="00086CB0" w:rsidP="00086CB0">
      <w:pPr>
        <w:ind w:firstLine="720"/>
        <w:rPr>
          <w:bCs/>
        </w:rPr>
      </w:pPr>
      <w:r>
        <w:rPr>
          <w:bCs/>
        </w:rPr>
        <w:t>Administratīvās sankcijas un tām līdzīgi pasākumi būtībā ir juridiskās atbildības izpausme. Savukārt juridiskā atbildība tradicionāli tiek aplūkota kā īpaša, jauna tiesiska attiecība (</w:t>
      </w:r>
      <w:r w:rsidRPr="00940F86">
        <w:rPr>
          <w:bCs/>
          <w:i/>
          <w:iCs/>
        </w:rPr>
        <w:t xml:space="preserve">Bitāns A. Civiltiesiskā atbildība un tās veidi. Rīga: AGB, 1997, </w:t>
      </w:r>
      <w:r>
        <w:rPr>
          <w:bCs/>
          <w:i/>
          <w:iCs/>
        </w:rPr>
        <w:t>2</w:t>
      </w:r>
      <w:r w:rsidRPr="00940F86">
        <w:rPr>
          <w:bCs/>
          <w:i/>
          <w:iCs/>
        </w:rPr>
        <w:t>4. lpp.</w:t>
      </w:r>
      <w:r>
        <w:rPr>
          <w:bCs/>
        </w:rPr>
        <w:t>). Turklāt sodoša (krimināltiesiska) rakstura administratīvās sankcijas ir skaidri nošķiramas no vispārīgā uzraudzības vai kontroles procesa.</w:t>
      </w:r>
    </w:p>
    <w:p w14:paraId="4E73FE2F" w14:textId="77777777" w:rsidR="00086CB0" w:rsidRPr="00545954" w:rsidRDefault="00086CB0" w:rsidP="00086CB0">
      <w:pPr>
        <w:ind w:firstLine="720"/>
      </w:pPr>
      <w:r>
        <w:rPr>
          <w:bCs/>
        </w:rPr>
        <w:t>Uzraudzība un kontrole ir valsts pārvaldes rīcības forma, kas attiecas uz t. s. materiālo administratīvo tiesību un administratīvā procesa jomu. Sodīšana kā tāda neietilpst uzraudzības un kontroles funkcijās. Tas ir patstāvīgs sodu tiesību jautājums ar atšķirīgiem materiālajiem un procesuālajiem priekšnoteikumiem. Līdz ar to sodoša rakstura administratīvās sankcijas un to piemērošana ir patstāvīgs regulējamais jautājums, kas nošķirams no uzraudzības.</w:t>
      </w:r>
    </w:p>
    <w:p w14:paraId="52EB3BEC" w14:textId="77777777" w:rsidR="00086CB0" w:rsidRDefault="00086CB0" w:rsidP="00086CB0">
      <w:pPr>
        <w:rPr>
          <w:bCs/>
        </w:rPr>
      </w:pPr>
      <w:r>
        <w:rPr>
          <w:bCs/>
        </w:rPr>
        <w:tab/>
        <w:t xml:space="preserve">Tādējādi likumprojekta IV nodaļā ir ietverti divi regulējamie jautājumi. Lūdzam precizēt likumprojekta struktūru, nodalot uzraudzības un atbildības jautājumus atsevišķās nodaļās. Salīdzinājumam, piemēram, </w:t>
      </w:r>
      <w:r w:rsidRPr="006E45DA">
        <w:rPr>
          <w:bCs/>
        </w:rPr>
        <w:t>Apdrošināšanas un pārapdrošināšanas izplatīšanas likum</w:t>
      </w:r>
      <w:r>
        <w:rPr>
          <w:bCs/>
        </w:rPr>
        <w:t>ā vismaz nodaļu nosaukumu līmenī nomināli ir nošķirta uzraudzība (šā likuma VI nodaļa) un atbildība (šā likuma VII nodaļa).</w:t>
      </w:r>
    </w:p>
    <w:p w14:paraId="2566A753" w14:textId="5ECA7491" w:rsidR="00086CB0" w:rsidRPr="00545954" w:rsidRDefault="00BD0100" w:rsidP="00086CB0">
      <w:pPr>
        <w:ind w:firstLine="720"/>
        <w:rPr>
          <w:bCs/>
        </w:rPr>
      </w:pPr>
      <w:r>
        <w:rPr>
          <w:bCs/>
        </w:rPr>
        <w:t>5</w:t>
      </w:r>
      <w:r w:rsidR="00086CB0">
        <w:rPr>
          <w:bCs/>
        </w:rPr>
        <w:t>.</w:t>
      </w:r>
      <w:r w:rsidR="00086CB0">
        <w:t xml:space="preserve">2. Vienlaikus secināms, ka atsevišķi atbildības jautājumi ir regulēti arī ārpus likumprojekta IV nodaļas. Piemēram, likumprojekta 6. panta otrajā daļā ir paredzēts, ka "Komisijai ir tiesības ar lēmumu anulēt kolektīvās finansēšanas pakalpojumu sniegšanas atļauju Regulā Nr. 20220/1503 minētajos gadījumos". </w:t>
      </w:r>
      <w:r w:rsidR="00086CB0" w:rsidRPr="003C29F6">
        <w:t>Eiropas Parlamenta un Padomes 2020.</w:t>
      </w:r>
      <w:r w:rsidR="00086CB0">
        <w:t> </w:t>
      </w:r>
      <w:r w:rsidR="00086CB0" w:rsidRPr="003C29F6">
        <w:t>gada 7.</w:t>
      </w:r>
      <w:r w:rsidR="00086CB0">
        <w:t> </w:t>
      </w:r>
      <w:r w:rsidR="00086CB0" w:rsidRPr="003C29F6">
        <w:t>oktobra regul</w:t>
      </w:r>
      <w:r w:rsidR="00086CB0">
        <w:t>as</w:t>
      </w:r>
      <w:r w:rsidR="00086CB0" w:rsidRPr="003C29F6">
        <w:t xml:space="preserve"> Nr.</w:t>
      </w:r>
      <w:r w:rsidR="00086CB0">
        <w:t> </w:t>
      </w:r>
      <w:r w:rsidR="00086CB0" w:rsidRPr="003C29F6">
        <w:t>2020/1503 par Eiropas kolektīvās finansēšanas pakalpojumu sniedzējiem uzņēmējdarbībai un ar ko groza Regulu (ES) 2017/1129 un Direktīvu (ES) 2019/1937</w:t>
      </w:r>
      <w:r w:rsidR="00086CB0">
        <w:t xml:space="preserve"> (turpmāk – Regula) 17. panta 1. punkts noteic tiesības atsaukt (anulēt) atļauju arī tad, ja kolektīvās finansēšanas pakalpojumu sniedzējs ir nopietni pārkāpis Regulu vai ir pārkāpti valsts </w:t>
      </w:r>
      <w:r w:rsidR="00086CB0">
        <w:lastRenderedPageBreak/>
        <w:t>tiesību akti, ar kuriem īsteno Direktīvu (ES) 2015/849, attiecībā uz nelikumīgi iegūtu līdzekļu legalizēšanu vai teroristu finansēšanu. Vismaz šie atļaujas anulēšanas gadījumi varētu būt krimināltiesiska (sodoša) rakstura administratīvās sankcijas, proti, atbildības regulējuma sastāvdaļa. Ar atbildību saistīts regulējums ir ietverts arī likumprojekta 8. panta ceturtajā un astotajā daļā.</w:t>
      </w:r>
    </w:p>
    <w:p w14:paraId="6E2DE5C7" w14:textId="77777777" w:rsidR="00086CB0" w:rsidRDefault="00086CB0" w:rsidP="00086CB0">
      <w:pPr>
        <w:ind w:firstLine="720"/>
      </w:pPr>
      <w:r>
        <w:t>Lūdzam precizēt likumprojektu tādējādi, lai visas vienības, kas attiecas uz konkrēto regulējamo jautājumu, būtu ietvertas vienā likumprojekta nodaļā. Tas nozīmē, ka nepieciešams rūpīgi izvērtēt arī to, kuri likumprojektā paredzētie pasākumi izmantojami vispārīgajā uzraudzības procesā un kuri pasākumi izmantojami jau "sodošajā" procesā. Attiecīgs skaidrojums ietverams arī likumprojekta sākotnējās ietekmes novērtējuma ziņojumā (turpmāk – anotācija).</w:t>
      </w:r>
    </w:p>
    <w:p w14:paraId="71D50032" w14:textId="77777777" w:rsidR="00086CB0" w:rsidRDefault="00086CB0" w:rsidP="00086CB0">
      <w:pPr>
        <w:ind w:firstLine="720"/>
      </w:pPr>
      <w:r>
        <w:t>Piemēram, likump</w:t>
      </w:r>
      <w:r w:rsidRPr="00A01D56">
        <w:t>rojekta 10.</w:t>
      </w:r>
      <w:r>
        <w:t> </w:t>
      </w:r>
      <w:r w:rsidRPr="00A01D56">
        <w:t xml:space="preserve">panta otrajā daļā paredzētās </w:t>
      </w:r>
      <w:r>
        <w:t xml:space="preserve">Finanšu un kapitāla tirgus komisijas </w:t>
      </w:r>
      <w:r w:rsidRPr="00A01D56">
        <w:t>tiesības veikt atsevišķus pasākumus ir saistīt</w:t>
      </w:r>
      <w:r>
        <w:t>as</w:t>
      </w:r>
      <w:r w:rsidRPr="00A01D56">
        <w:t xml:space="preserve"> ar to, ka pastā</w:t>
      </w:r>
      <w:r>
        <w:t>v</w:t>
      </w:r>
      <w:r w:rsidRPr="00A01D56">
        <w:t xml:space="preserve"> pamatotas aizdomas, ka ir pārkāptas Regulas, </w:t>
      </w:r>
      <w:r>
        <w:t>likum</w:t>
      </w:r>
      <w:r w:rsidRPr="00A01D56">
        <w:t>projekta vai citu Eiropas Savienībā tieši piemērojamo normatīvo aktu kolektīvās finansēšanas jomā prasības.</w:t>
      </w:r>
      <w:r>
        <w:t xml:space="preserve"> Tas norāda, ka šādos gadījumos visticamāk būtu sākams sankciju piemērošanas process. </w:t>
      </w:r>
      <w:r w:rsidRPr="00A01D56">
        <w:t>Šādi pasākumi</w:t>
      </w:r>
      <w:r>
        <w:t xml:space="preserve"> būtībā </w:t>
      </w:r>
      <w:r w:rsidRPr="00A01D56">
        <w:t>līdzinās</w:t>
      </w:r>
      <w:r>
        <w:t xml:space="preserve"> sodu tiesībās pazīstamajiem </w:t>
      </w:r>
      <w:r w:rsidRPr="00A01D56">
        <w:t>procesuāl</w:t>
      </w:r>
      <w:r>
        <w:t>aj</w:t>
      </w:r>
      <w:r w:rsidRPr="00A01D56">
        <w:t>iem piespiedu līdzekļiem.</w:t>
      </w:r>
    </w:p>
    <w:p w14:paraId="13757694" w14:textId="0A1BE7CD" w:rsidR="00086CB0" w:rsidRDefault="00BD0100" w:rsidP="00086CB0">
      <w:pPr>
        <w:ind w:firstLine="720"/>
      </w:pPr>
      <w:r>
        <w:t>5</w:t>
      </w:r>
      <w:r w:rsidR="00086CB0">
        <w:t>.3. Lūdzam nodrošināt, ka likumprojekta 10. pantā paredzēto pasākumu saturs pilnībā atbilst Regulā paredzētajiem pasākumiem (piemēram, tiesības veikt pārbaudes un iekļūt telpā ir formulētas atšķirīgi), un ietvert atbilstošu skaidrojumu arī anotācijā.</w:t>
      </w:r>
    </w:p>
    <w:p w14:paraId="1C52BB59" w14:textId="4D49C597" w:rsidR="00086CB0" w:rsidRDefault="00BD0100" w:rsidP="00086CB0">
      <w:pPr>
        <w:ind w:firstLine="720"/>
      </w:pPr>
      <w:r>
        <w:t>6</w:t>
      </w:r>
      <w:r w:rsidR="00086CB0">
        <w:t>. Lūdzam precizēt likumprojekta 12. pantā paredzēto atbildības par noteikto prasību neievērošanu regulējumu un ietvert anotācijā argumentētu skaidrojumu vismaz turpmāk minētajiem jautājumiem.</w:t>
      </w:r>
    </w:p>
    <w:p w14:paraId="2CEA05EC" w14:textId="59899419" w:rsidR="00086CB0" w:rsidRDefault="00BD0100" w:rsidP="00086CB0">
      <w:pPr>
        <w:ind w:firstLine="720"/>
      </w:pPr>
      <w:r>
        <w:t>6</w:t>
      </w:r>
      <w:r w:rsidR="00086CB0">
        <w:t>.1. Likumprojekta 12. pantā izveidots iedalījums "uzraudzības pasākumi" un "sankcijas". Tādējādi nepieciešams pārliecināties, kuri pasākumi atbilst administratīvajam uzraudzības procesam un kuri jau ir krimināltiesiska (sodoša) rakstura administratīvās sankcijas (neskaitot soda naudu, kas ir tipisks soda veids).</w:t>
      </w:r>
    </w:p>
    <w:p w14:paraId="28F1F83E" w14:textId="77777777" w:rsidR="00086CB0" w:rsidRDefault="00086CB0" w:rsidP="00086CB0">
      <w:pPr>
        <w:ind w:firstLine="720"/>
        <w:rPr>
          <w:rFonts w:eastAsia="Times New Roman"/>
          <w:lang w:eastAsia="en-GB"/>
        </w:rPr>
      </w:pPr>
      <w:r>
        <w:rPr>
          <w:rFonts w:eastAsia="Times New Roman"/>
          <w:lang w:eastAsia="en-GB"/>
        </w:rPr>
        <w:t>L</w:t>
      </w:r>
      <w:r w:rsidRPr="00545954">
        <w:rPr>
          <w:rFonts w:eastAsia="Times New Roman"/>
          <w:lang w:eastAsia="en-GB"/>
        </w:rPr>
        <w:t>ai noskaidrotu, vai</w:t>
      </w:r>
      <w:r w:rsidRPr="00243503">
        <w:rPr>
          <w:rFonts w:eastAsia="Times New Roman"/>
          <w:lang w:eastAsia="en-GB"/>
        </w:rPr>
        <w:t xml:space="preserve"> paredzētie pasākumi </w:t>
      </w:r>
      <w:r w:rsidRPr="00545954">
        <w:rPr>
          <w:rFonts w:eastAsia="Times New Roman"/>
          <w:lang w:eastAsia="en-GB"/>
        </w:rPr>
        <w:t xml:space="preserve">atbilst </w:t>
      </w:r>
      <w:r w:rsidRPr="00243503">
        <w:rPr>
          <w:rFonts w:eastAsia="Times New Roman"/>
          <w:lang w:eastAsia="en-GB"/>
        </w:rPr>
        <w:t xml:space="preserve">soda jeb </w:t>
      </w:r>
      <w:r w:rsidRPr="00545954">
        <w:rPr>
          <w:rFonts w:eastAsia="Times New Roman"/>
          <w:lang w:eastAsia="en-GB"/>
        </w:rPr>
        <w:t>krimināltiesiska rakstura administratīvo sankciju pazīmēm, pamatā izmantojami Eiropas Cilvēktiesību tiesas un Eiropas Savienības Tiesas judikatūrā attīstītie kritēriji (</w:t>
      </w:r>
      <w:r w:rsidRPr="00545954">
        <w:rPr>
          <w:rFonts w:eastAsia="Times New Roman"/>
          <w:i/>
          <w:iCs/>
          <w:lang w:eastAsia="en-GB"/>
        </w:rPr>
        <w:t xml:space="preserve">sk., piemēram, ģenerāladvokāta Manuela </w:t>
      </w:r>
      <w:proofErr w:type="spellStart"/>
      <w:r w:rsidRPr="00545954">
        <w:rPr>
          <w:rFonts w:eastAsia="Times New Roman"/>
          <w:i/>
          <w:iCs/>
          <w:lang w:eastAsia="en-GB"/>
        </w:rPr>
        <w:t>Kamposa</w:t>
      </w:r>
      <w:proofErr w:type="spellEnd"/>
      <w:r w:rsidRPr="00545954">
        <w:rPr>
          <w:rFonts w:eastAsia="Times New Roman"/>
          <w:i/>
          <w:iCs/>
          <w:lang w:eastAsia="en-GB"/>
        </w:rPr>
        <w:t xml:space="preserve"> Sančesa-</w:t>
      </w:r>
      <w:proofErr w:type="spellStart"/>
      <w:r w:rsidRPr="00545954">
        <w:rPr>
          <w:rFonts w:eastAsia="Times New Roman"/>
          <w:i/>
          <w:iCs/>
          <w:lang w:eastAsia="en-GB"/>
        </w:rPr>
        <w:t>Bordonas</w:t>
      </w:r>
      <w:proofErr w:type="spellEnd"/>
      <w:r w:rsidRPr="00545954">
        <w:rPr>
          <w:rFonts w:eastAsia="Times New Roman"/>
          <w:i/>
          <w:iCs/>
          <w:lang w:eastAsia="en-GB"/>
        </w:rPr>
        <w:t xml:space="preserve"> secinājumu, sniegti 2017. gada 12. septembrī, lietā C-524/15 47. punktu; </w:t>
      </w:r>
      <w:proofErr w:type="spellStart"/>
      <w:r w:rsidRPr="00545954">
        <w:rPr>
          <w:rFonts w:eastAsia="Times New Roman"/>
          <w:i/>
          <w:iCs/>
          <w:lang w:eastAsia="en-GB"/>
        </w:rPr>
        <w:t>ģenerāladvokātes</w:t>
      </w:r>
      <w:proofErr w:type="spellEnd"/>
      <w:r w:rsidRPr="00545954">
        <w:rPr>
          <w:rFonts w:eastAsia="Times New Roman"/>
          <w:i/>
          <w:iCs/>
          <w:lang w:eastAsia="en-GB"/>
        </w:rPr>
        <w:t xml:space="preserve"> </w:t>
      </w:r>
      <w:proofErr w:type="spellStart"/>
      <w:r w:rsidRPr="00545954">
        <w:rPr>
          <w:rFonts w:eastAsia="Times New Roman"/>
          <w:i/>
          <w:iCs/>
          <w:lang w:eastAsia="en-GB"/>
        </w:rPr>
        <w:t>Julianas</w:t>
      </w:r>
      <w:proofErr w:type="spellEnd"/>
      <w:r w:rsidRPr="00545954">
        <w:rPr>
          <w:rFonts w:eastAsia="Times New Roman"/>
          <w:i/>
          <w:iCs/>
          <w:lang w:eastAsia="en-GB"/>
        </w:rPr>
        <w:t xml:space="preserve"> </w:t>
      </w:r>
      <w:proofErr w:type="spellStart"/>
      <w:r w:rsidRPr="00545954">
        <w:rPr>
          <w:rFonts w:eastAsia="Times New Roman"/>
          <w:i/>
          <w:iCs/>
          <w:lang w:eastAsia="en-GB"/>
        </w:rPr>
        <w:t>Kokotes</w:t>
      </w:r>
      <w:proofErr w:type="spellEnd"/>
      <w:r w:rsidRPr="00545954">
        <w:rPr>
          <w:rFonts w:eastAsia="Times New Roman"/>
          <w:i/>
          <w:iCs/>
          <w:lang w:eastAsia="en-GB"/>
        </w:rPr>
        <w:t xml:space="preserve"> secinājumu, sniegti 2011. gada 15. decembrī, lietā C-489/10 71. punktu</w:t>
      </w:r>
      <w:r w:rsidRPr="00545954">
        <w:rPr>
          <w:rFonts w:eastAsia="Times New Roman"/>
          <w:lang w:eastAsia="en-GB"/>
        </w:rPr>
        <w:t>):</w:t>
      </w:r>
    </w:p>
    <w:p w14:paraId="65CD1D44" w14:textId="77777777" w:rsidR="00086CB0" w:rsidRDefault="00086CB0" w:rsidP="00086CB0">
      <w:pPr>
        <w:ind w:firstLine="720"/>
        <w:rPr>
          <w:rFonts w:eastAsia="Times New Roman"/>
          <w:lang w:eastAsia="en-GB"/>
        </w:rPr>
      </w:pPr>
      <w:r w:rsidRPr="00545954">
        <w:rPr>
          <w:rFonts w:eastAsia="Times New Roman"/>
          <w:lang w:eastAsia="en-GB"/>
        </w:rPr>
        <w:t xml:space="preserve">1) vai tā ir </w:t>
      </w:r>
      <w:r w:rsidRPr="00243503">
        <w:rPr>
          <w:rFonts w:eastAsia="Times New Roman"/>
          <w:lang w:eastAsia="en-GB"/>
        </w:rPr>
        <w:t xml:space="preserve">institūcijas </w:t>
      </w:r>
      <w:r w:rsidRPr="00545954">
        <w:rPr>
          <w:rFonts w:eastAsia="Times New Roman"/>
          <w:lang w:eastAsia="en-GB"/>
        </w:rPr>
        <w:t>reakcija uz personas izdarītu tiesību aktu pārkāpumu;</w:t>
      </w:r>
    </w:p>
    <w:p w14:paraId="08E8A322" w14:textId="77777777" w:rsidR="00086CB0" w:rsidRDefault="00086CB0" w:rsidP="00086CB0">
      <w:pPr>
        <w:ind w:firstLine="720"/>
        <w:rPr>
          <w:rFonts w:eastAsia="Times New Roman"/>
          <w:lang w:eastAsia="en-GB"/>
        </w:rPr>
      </w:pPr>
      <w:r w:rsidRPr="00545954">
        <w:rPr>
          <w:rFonts w:eastAsia="Times New Roman"/>
          <w:lang w:eastAsia="en-GB"/>
        </w:rPr>
        <w:t>2) pārkāpuma raksturs:</w:t>
      </w:r>
    </w:p>
    <w:p w14:paraId="5FC6F244" w14:textId="77777777" w:rsidR="00086CB0" w:rsidRDefault="00086CB0" w:rsidP="00086CB0">
      <w:pPr>
        <w:ind w:firstLine="720"/>
        <w:rPr>
          <w:rFonts w:eastAsia="Times New Roman"/>
          <w:lang w:eastAsia="en-GB"/>
        </w:rPr>
      </w:pPr>
      <w:r w:rsidRPr="00545954">
        <w:rPr>
          <w:rFonts w:eastAsia="Times New Roman"/>
          <w:lang w:eastAsia="en-GB"/>
        </w:rPr>
        <w:t>a) attiecīgā regulējuma adresāti (ja tas ir vērsts uz sabiedrību kopumā, nevis uz stingri noteiktu adresātu grupu, tam parasti būs "krimināltiesisks raksturs");</w:t>
      </w:r>
    </w:p>
    <w:p w14:paraId="6E490D44" w14:textId="77777777" w:rsidR="00086CB0" w:rsidRDefault="00086CB0" w:rsidP="00086CB0">
      <w:pPr>
        <w:ind w:firstLine="720"/>
        <w:rPr>
          <w:rFonts w:eastAsia="Times New Roman"/>
          <w:lang w:eastAsia="en-GB"/>
        </w:rPr>
      </w:pPr>
      <w:r w:rsidRPr="00545954">
        <w:rPr>
          <w:rFonts w:eastAsia="Times New Roman"/>
          <w:lang w:eastAsia="en-GB"/>
        </w:rPr>
        <w:t xml:space="preserve">b) normas mērķis (pārkāpumam nebūs krimināltiesiska rakstura, ja sankcija ir paredzēta kaitējuma atlīdzināšanai vai tamlīdzīgi, bet būs krimināltiesisks raksturs, ja atbildība tiks noteikta represijas un </w:t>
      </w:r>
      <w:proofErr w:type="spellStart"/>
      <w:r w:rsidRPr="00545954">
        <w:rPr>
          <w:rFonts w:eastAsia="Times New Roman"/>
          <w:lang w:eastAsia="en-GB"/>
        </w:rPr>
        <w:t>prevencijas</w:t>
      </w:r>
      <w:proofErr w:type="spellEnd"/>
      <w:r w:rsidRPr="00545954">
        <w:rPr>
          <w:rFonts w:eastAsia="Times New Roman"/>
          <w:lang w:eastAsia="en-GB"/>
        </w:rPr>
        <w:t xml:space="preserve"> nolūkā);</w:t>
      </w:r>
    </w:p>
    <w:p w14:paraId="038EDF7F" w14:textId="77777777" w:rsidR="00086CB0" w:rsidRDefault="00086CB0" w:rsidP="00086CB0">
      <w:pPr>
        <w:ind w:firstLine="720"/>
        <w:rPr>
          <w:rFonts w:eastAsia="Times New Roman"/>
          <w:lang w:eastAsia="en-GB"/>
        </w:rPr>
      </w:pPr>
      <w:r w:rsidRPr="00545954">
        <w:rPr>
          <w:rFonts w:eastAsia="Times New Roman"/>
          <w:lang w:eastAsia="en-GB"/>
        </w:rPr>
        <w:t>c) tiesiski aizsargātās intereses (ja normas mērķis ir nodrošināt tiesiskās intereses, kuru aizsardzība parasti ir garantēta ar krimināltiesību normām, tai būs krimināltiesisks raksturs);</w:t>
      </w:r>
    </w:p>
    <w:p w14:paraId="1B20ACEF" w14:textId="77777777" w:rsidR="00086CB0" w:rsidRDefault="00086CB0" w:rsidP="00086CB0">
      <w:pPr>
        <w:ind w:firstLine="720"/>
        <w:rPr>
          <w:rFonts w:eastAsia="Times New Roman"/>
          <w:lang w:eastAsia="en-GB"/>
        </w:rPr>
      </w:pPr>
      <w:r w:rsidRPr="00545954">
        <w:rPr>
          <w:rFonts w:eastAsia="Times New Roman"/>
          <w:lang w:eastAsia="en-GB"/>
        </w:rPr>
        <w:t>3) sankcijas bardzība (draudošo negatīvo seku kopējais smagums, tostarp nelabvēlīgas ekonomiskās sekas, apdraudējums kādām no attiecīgās personas aizsargājamajām interesēm).</w:t>
      </w:r>
    </w:p>
    <w:p w14:paraId="4F96FD3A" w14:textId="77777777" w:rsidR="00086CB0" w:rsidRDefault="00086CB0" w:rsidP="00086CB0">
      <w:pPr>
        <w:ind w:firstLine="720"/>
      </w:pPr>
      <w:r w:rsidRPr="005F6EC3">
        <w:t>Otrais un trešais kritērijs ir alternatīvi</w:t>
      </w:r>
      <w:r>
        <w:t xml:space="preserve"> (pietiek, ja tiek konstatēta atbilstība kaut vienam no šiem kritērijiem)</w:t>
      </w:r>
      <w:r w:rsidRPr="005F6EC3">
        <w:t>.</w:t>
      </w:r>
      <w:r>
        <w:t xml:space="preserve"> Piemēram, sankcijas bardzība ne vienmēr ir izšķiroša. </w:t>
      </w:r>
      <w:r w:rsidRPr="000639A3">
        <w:t>Ja attiecīgā sankcija pēc sava rakstura un būtības atbilst otrajam</w:t>
      </w:r>
      <w:r>
        <w:t xml:space="preserve"> kritērijam</w:t>
      </w:r>
      <w:r w:rsidRPr="000639A3">
        <w:t>, tās smagumam nav jāsasniedz trešajā</w:t>
      </w:r>
      <w:r>
        <w:t xml:space="preserve"> </w:t>
      </w:r>
      <w:r w:rsidRPr="000639A3">
        <w:t>kritērijā paredzētais apmērs, lai to varētu atzīt par krimināltiesiska rakstura sankciju</w:t>
      </w:r>
      <w:r>
        <w:t xml:space="preserve"> (</w:t>
      </w:r>
      <w:r w:rsidRPr="000639A3">
        <w:rPr>
          <w:i/>
          <w:iCs/>
        </w:rPr>
        <w:t>Satversmes tiesas 2013. gada 28. marta sprieduma lietā Nr. 2012-15-01 13.2.2. punkts</w:t>
      </w:r>
      <w:r>
        <w:t>)</w:t>
      </w:r>
      <w:r w:rsidRPr="000639A3">
        <w:t>.</w:t>
      </w:r>
      <w:r w:rsidRPr="005F6EC3">
        <w:t xml:space="preserve"> Ja katra atsevišķa kritērija izvērtēšanas rezultātā nav iespējams nonākt pie skaidra secinājuma, tad šo kritēriju pārbaudē pieļaujams izmantot arī kumulatīvu pieeju</w:t>
      </w:r>
      <w:r>
        <w:t xml:space="preserve"> (</w:t>
      </w:r>
      <w:r w:rsidRPr="005F6EC3">
        <w:rPr>
          <w:i/>
          <w:iCs/>
        </w:rPr>
        <w:t xml:space="preserve">Satversmes tiesas 2017. gada </w:t>
      </w:r>
      <w:r w:rsidRPr="005F6EC3">
        <w:rPr>
          <w:i/>
          <w:iCs/>
        </w:rPr>
        <w:lastRenderedPageBreak/>
        <w:t>15. marta sprieduma lietā Nr. 2017-16-01 9.2. punkts</w:t>
      </w:r>
      <w:r>
        <w:t>).</w:t>
      </w:r>
    </w:p>
    <w:p w14:paraId="6E7D80F2" w14:textId="77777777" w:rsidR="00086CB0" w:rsidRDefault="00086CB0" w:rsidP="00086CB0">
      <w:pPr>
        <w:ind w:firstLine="720"/>
      </w:pPr>
      <w:r>
        <w:t>Projektā nozīmīgākie kritēriji varētu būt normas mērķis un sankcijas bardzība, kam pievēršama īpaša uzmanība anotācijā ietveramajā pamatojumā.</w:t>
      </w:r>
    </w:p>
    <w:p w14:paraId="5FC8ACD0" w14:textId="77777777" w:rsidR="00086CB0" w:rsidRDefault="00086CB0" w:rsidP="00086CB0">
      <w:pPr>
        <w:ind w:firstLine="720"/>
      </w:pPr>
      <w:r>
        <w:t>Turklāt uzmanība pievēršama ne tikai likumprojekta 12. pantā, bet arī likumprojekta 10. pantā un 6. panta otrajā daļā paredzētajiem pasākumiem (piemēram, piedāvājuma vai pakalpojuma aizliegšana, informācijas publiskošana).</w:t>
      </w:r>
    </w:p>
    <w:p w14:paraId="309A8CCB" w14:textId="77777777" w:rsidR="00086CB0" w:rsidRDefault="00086CB0" w:rsidP="00086CB0">
      <w:pPr>
        <w:ind w:firstLine="720"/>
      </w:pPr>
      <w:r>
        <w:t xml:space="preserve">Ievērojot minēto, nepieciešams </w:t>
      </w:r>
      <w:r>
        <w:rPr>
          <w:bCs/>
        </w:rPr>
        <w:t>anotācijā izvērtēt un likumprojektā skaidri un izsmeļoši norādīt, kuri pasākumi ir krimināltiesiska (sodoša) rakstura administratīvās sankcijas.</w:t>
      </w:r>
    </w:p>
    <w:p w14:paraId="34180A6F" w14:textId="31756264" w:rsidR="00086CB0" w:rsidRDefault="00BD0100" w:rsidP="00086CB0">
      <w:pPr>
        <w:ind w:firstLine="720"/>
      </w:pPr>
      <w:r>
        <w:rPr>
          <w:bCs/>
        </w:rPr>
        <w:t>6</w:t>
      </w:r>
      <w:r w:rsidR="00086CB0">
        <w:rPr>
          <w:bCs/>
        </w:rPr>
        <w:t>.2. Tā kā likumprojektā ir paredzētas krimināltiesiska (sodoša) rakstura sankcijas, tad pārkāpumi definējami, ievērojot sodu tiesībās valdošos principus un kritērijus.</w:t>
      </w:r>
    </w:p>
    <w:p w14:paraId="19551121" w14:textId="77777777" w:rsidR="00086CB0" w:rsidRDefault="00086CB0" w:rsidP="00086CB0">
      <w:pPr>
        <w:ind w:firstLine="720"/>
      </w:pPr>
      <w:r>
        <w:rPr>
          <w:bCs/>
          <w:iCs/>
        </w:rPr>
        <w:t>A</w:t>
      </w:r>
      <w:r w:rsidRPr="0042401C">
        <w:rPr>
          <w:bCs/>
          <w:iCs/>
        </w:rPr>
        <w:t xml:space="preserve">tbildību noteicošas normas nevar atzīt par neskaidrām tāpēc vien, ka to saturs noskaidrojams, pamatojoties uz </w:t>
      </w:r>
      <w:r>
        <w:rPr>
          <w:bCs/>
          <w:iCs/>
        </w:rPr>
        <w:t>citām tiesību normām vai normatīvajiem aktiem (</w:t>
      </w:r>
      <w:r>
        <w:rPr>
          <w:bCs/>
          <w:i/>
        </w:rPr>
        <w:t>sal. Satversmes tiesas 19.02.2021. sprieduma lietā Nr. 2020-23-01 15. punkts</w:t>
      </w:r>
      <w:r>
        <w:rPr>
          <w:bCs/>
          <w:iCs/>
        </w:rPr>
        <w:t xml:space="preserve">). Izmantojot </w:t>
      </w:r>
      <w:proofErr w:type="spellStart"/>
      <w:r>
        <w:rPr>
          <w:bCs/>
          <w:iCs/>
        </w:rPr>
        <w:t>blanketo</w:t>
      </w:r>
      <w:proofErr w:type="spellEnd"/>
      <w:r>
        <w:rPr>
          <w:bCs/>
          <w:iCs/>
        </w:rPr>
        <w:t xml:space="preserve"> normu, likumdevējs formulē vispārinātu pazīmi, kas kopā ar citās normās noteikto šīs pazīmes detalizāciju veido pārkāpumu. Tomēr jāievēro, ka arī </w:t>
      </w:r>
      <w:proofErr w:type="spellStart"/>
      <w:r>
        <w:rPr>
          <w:bCs/>
          <w:iCs/>
        </w:rPr>
        <w:t>blanketā</w:t>
      </w:r>
      <w:proofErr w:type="spellEnd"/>
      <w:r>
        <w:rPr>
          <w:bCs/>
          <w:iCs/>
        </w:rPr>
        <w:t xml:space="preserve"> norma definē visas pārkāpuma pazīmes, vienīgi daļu no šīm pazīmēm sīkāk konkretizē citas normas (</w:t>
      </w:r>
      <w:r>
        <w:rPr>
          <w:bCs/>
          <w:i/>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Pr>
          <w:bCs/>
          <w:iCs/>
        </w:rPr>
        <w:t>).</w:t>
      </w:r>
    </w:p>
    <w:p w14:paraId="6F7ED96E" w14:textId="77777777" w:rsidR="00086CB0" w:rsidRDefault="00086CB0" w:rsidP="00086CB0">
      <w:pPr>
        <w:ind w:firstLine="720"/>
      </w:pPr>
      <w:r>
        <w:rPr>
          <w:bCs/>
        </w:rPr>
        <w:t xml:space="preserve">Ievērojot minēto, vispārīga norāde uz normatīvā akta pārkāpumiem neatbilst pārkāpumu definēšanas prasībām. Tā neļauj personai pietiekami noteikti paredzēt, kāda veida rīcība ir sodāma. Šajā gadījumā likumprojekta 12. panta pirmajā daļā ir norādītas konkrētas Regulas vienības. Tādējādi pārkāpumu formulējums ir salīdzinoši precīzāks, tomēr projektā ietvertais pārkāpuma apraksts vispār nesatur pārkāpuma pazīmes. Arī no juridiskās tehniskas viedokļa atsauču lietojumam </w:t>
      </w:r>
      <w:r w:rsidRPr="0065353A">
        <w:rPr>
          <w:bCs/>
        </w:rPr>
        <w:t>jābūt tādam, lai</w:t>
      </w:r>
      <w:r>
        <w:rPr>
          <w:bCs/>
        </w:rPr>
        <w:t xml:space="preserve"> likumprojekta regulējumu </w:t>
      </w:r>
      <w:r w:rsidRPr="0065353A">
        <w:rPr>
          <w:bCs/>
        </w:rPr>
        <w:t>varētu vispārīgi saprast, neizlasot atsaucē norādīto</w:t>
      </w:r>
      <w:r>
        <w:rPr>
          <w:bCs/>
        </w:rPr>
        <w:t xml:space="preserve"> cita normatīvā akta vienību</w:t>
      </w:r>
      <w:r w:rsidRPr="0065353A">
        <w:rPr>
          <w:bCs/>
        </w:rPr>
        <w:t>.</w:t>
      </w:r>
    </w:p>
    <w:p w14:paraId="706844DF" w14:textId="77777777" w:rsidR="00086CB0" w:rsidRDefault="00086CB0" w:rsidP="00086CB0">
      <w:pPr>
        <w:ind w:firstLine="720"/>
      </w:pPr>
      <w:r>
        <w:rPr>
          <w:bCs/>
        </w:rPr>
        <w:t>Ievērojot minēto, nepieciešams precizēt likumprojekta 12. panta pirmajā daļā paredzēto pārkāpumu pazīmes (</w:t>
      </w:r>
      <w:r>
        <w:rPr>
          <w:i/>
          <w:iCs/>
        </w:rPr>
        <w:t xml:space="preserve">sal. sk. Muitas likuma 29. pantu un </w:t>
      </w:r>
      <w:r w:rsidRPr="00225B1C">
        <w:rPr>
          <w:i/>
          <w:iCs/>
        </w:rPr>
        <w:t>Ģenētisko resursu izmantošanas likum</w:t>
      </w:r>
      <w:r>
        <w:rPr>
          <w:i/>
          <w:iCs/>
        </w:rPr>
        <w:t>a 7. pantu</w:t>
      </w:r>
      <w:r>
        <w:rPr>
          <w:bCs/>
        </w:rPr>
        <w:t>).</w:t>
      </w:r>
    </w:p>
    <w:p w14:paraId="6B271F36" w14:textId="31418143" w:rsidR="00086CB0" w:rsidRDefault="00BD0100" w:rsidP="00086CB0">
      <w:pPr>
        <w:ind w:firstLine="720"/>
      </w:pPr>
      <w:r>
        <w:t>6</w:t>
      </w:r>
      <w:r w:rsidR="00086CB0">
        <w:t>.3. Likumprojekta 12. panta pirmajā daļā paredzēta atbildība arī par nesadarbošanos vai nepakļaušanos Finanšu un kapitāla tirgus komisijas norādījumiem. Vēršam uzmanību, ka s</w:t>
      </w:r>
      <w:r w:rsidR="00086CB0" w:rsidRPr="008B4B1E">
        <w:t>askaņā ar  Regulas 39. panta 2. punktu dalībvalstis ar saviem tiesību aktiem nodrošina, ka kompetentajām iestādēm ir pilnvaras par šā panta 1. punkta pirmās daļas a) apakšpunktā minētajiem pārkāpumiem uzlikt vismaz šā panta 2. punktā minētos administratīvos sodus un citus administratīvos pasākumus. Tādējādi attiecīgās sankcijas un pasākumi netiek attiecināti uz Regulas 39. panta 1. punkta b) apakšpunktā iekļauto nesadarbošanos vai nepakļaušanos izmeklēšanai vai inspekcijai, vai pieprasījumiem.</w:t>
      </w:r>
    </w:p>
    <w:p w14:paraId="56E552BA" w14:textId="77777777" w:rsidR="00086CB0" w:rsidRDefault="00086CB0" w:rsidP="00086CB0">
      <w:pPr>
        <w:ind w:firstLine="720"/>
      </w:pPr>
      <w:r>
        <w:t>Pamatā par nesadarbošanos vai nepakļaušanos iestādes prasībām netiek paredzēti sodi (sankcijas), bet izmantojami procesuālie piespiedu līdzekļi, procesuālās sankcijas vai, atkarībā no prasības rakstura, arī administratīvā akta piespiedu izpilde. Līdz ar to izvērtējams, vai un par kādām Finanšu un kapitāla tirgus komisijas prasībām būtu paredzamas sankcijas un tieši kāda veida un apmēra sankcijas.</w:t>
      </w:r>
    </w:p>
    <w:p w14:paraId="36A38A01" w14:textId="1D91EE49" w:rsidR="00086CB0" w:rsidRDefault="00BD0100" w:rsidP="00086CB0">
      <w:pPr>
        <w:ind w:firstLine="720"/>
      </w:pPr>
      <w:r>
        <w:t>6</w:t>
      </w:r>
      <w:r w:rsidR="00086CB0">
        <w:t>.4. Nav skaidra likumprojekta 12. panta pirmajā daļā lietotās atsauces "saskaņā ar šā likuma 10. panta pirmo daļu tā, pieņemot lēmumu" nozīme un saturs. Lūdzam precizēt likumprojekta 12. panta pirmās daļas redakciju.</w:t>
      </w:r>
    </w:p>
    <w:p w14:paraId="3AF21970" w14:textId="7D2DC752" w:rsidR="00086CB0" w:rsidRDefault="00BD0100" w:rsidP="00086CB0">
      <w:pPr>
        <w:ind w:firstLine="720"/>
      </w:pPr>
      <w:r>
        <w:t>6</w:t>
      </w:r>
      <w:r w:rsidR="00086CB0">
        <w:t>.5. Nav skaidrs likumprojekta 12. panta pirmās daļas 2. punktā lietotās norādes "piemērot vienu vai vairākas šādas sankcijas" saturs. Piemēram, vai tas nozīmē, ka vienlaikus var piemērot arī vairākas soda naudas. Turklāt, kā jau minēts iepriekš, sankcijas būtībā ir paredzētas arī citās likumprojekta vienībās. Lūdzam precizēt likumprojektu vai ietvert skaidrojumu anotācijā.</w:t>
      </w:r>
    </w:p>
    <w:p w14:paraId="74C6A5B1" w14:textId="40824F0E" w:rsidR="00086CB0" w:rsidRDefault="00BD0100" w:rsidP="00086CB0">
      <w:pPr>
        <w:ind w:firstLine="720"/>
      </w:pPr>
      <w:r>
        <w:t>6</w:t>
      </w:r>
      <w:r w:rsidR="00086CB0">
        <w:t>.6. Likump</w:t>
      </w:r>
      <w:r w:rsidR="00086CB0" w:rsidRPr="00EE242E">
        <w:t xml:space="preserve">rojekta 12. panta otrajā daļā ir paredzēta atbildība par kolektīvās </w:t>
      </w:r>
      <w:r w:rsidR="00086CB0" w:rsidRPr="00EE242E">
        <w:lastRenderedPageBreak/>
        <w:t xml:space="preserve">finansēšanas pakalpojumu sniegšanu bez reģistrācijas. Tomēr Regulas 3. panta 1. punkts ("kurām ir piešķirta atļauja"), 12. panta 1. punkts ("iesniedz pieteikumu [..] atļaujas saņemšanai") un arī 13. panta 2. punkts ("iesniedz pieprasījumu savas atļaujas paplašināšanai") arī šķietami attiecas uz pienākumu saņemt atļauju un par šo prasību neievērošanu atbildība jau ir paredzēta </w:t>
      </w:r>
      <w:r w:rsidR="00086CB0">
        <w:t>likum</w:t>
      </w:r>
      <w:r w:rsidR="00086CB0" w:rsidRPr="00EE242E">
        <w:t>projekta 12. panta pirmajā daļā.</w:t>
      </w:r>
      <w:r w:rsidR="00086CB0">
        <w:t xml:space="preserve"> Lai arī pazīmes "bez reģistrācijas" un "bez atļaujas" nav identiskas, no likumprojekta satura nav skaidri redzama atšķirība. Lūdzam precizēt likumprojektu. Ja tomēr likumprojekta 12. panta otrajā daļā ir paredzēts cits pārkāpums, tad anotācijā skaidrojams, kā tas nošķirams no iepriekš norādītajiem Regulas vienību pārkāpumiem.</w:t>
      </w:r>
    </w:p>
    <w:p w14:paraId="03CF6680" w14:textId="71F9B49B" w:rsidR="00086CB0" w:rsidRPr="001D3A36" w:rsidRDefault="00BD0100" w:rsidP="00086CB0">
      <w:pPr>
        <w:ind w:firstLine="720"/>
      </w:pPr>
      <w:r>
        <w:rPr>
          <w:szCs w:val="24"/>
        </w:rPr>
        <w:t>7</w:t>
      </w:r>
      <w:r w:rsidR="00086CB0">
        <w:rPr>
          <w:szCs w:val="24"/>
        </w:rPr>
        <w:t xml:space="preserve">. Likumprojekta 14. panta piektā daļa paredz, ka </w:t>
      </w:r>
      <w:r w:rsidR="00086CB0" w:rsidRPr="003318BB">
        <w:rPr>
          <w:szCs w:val="24"/>
        </w:rPr>
        <w:t xml:space="preserve">Patērētāju tiesību aizsardzības centrs un </w:t>
      </w:r>
      <w:r w:rsidR="00086CB0">
        <w:rPr>
          <w:szCs w:val="24"/>
        </w:rPr>
        <w:t>Finanšu un kapitāla tirgus k</w:t>
      </w:r>
      <w:r w:rsidR="00086CB0" w:rsidRPr="003318BB">
        <w:rPr>
          <w:szCs w:val="24"/>
        </w:rPr>
        <w:t>omisija atbilstoši savai kompetencei ir tiesīgi pieprasīt klientiem un kolektīvās finansēšanas pakalpojumu sniedzējiem lietas izskatīšanai nepieciešamo informāciju un noteikt tās iesniegšanas termiņu.</w:t>
      </w:r>
      <w:r w:rsidR="00086CB0">
        <w:rPr>
          <w:szCs w:val="24"/>
        </w:rPr>
        <w:t xml:space="preserve"> Administratīvā procesa likuma 59. pants paredz kārtību, kādā iestāde iegūst lēmuma pieņemšanai nepieciešamo informāciju pēc administratīvās lietas ierosināšanas, līdz ar to likumprojekta 14. panta piektā daļa dublē Administratīvā procesa likumā noteikto. Ņemot vērā minēto, lūdzam izslēgt likumprojekta 14. panta piekto daļu.</w:t>
      </w:r>
    </w:p>
    <w:p w14:paraId="469BDEE4" w14:textId="14D113B2" w:rsidR="00086CB0" w:rsidRPr="00086CB0" w:rsidRDefault="006F2713" w:rsidP="00086CB0">
      <w:pPr>
        <w:pStyle w:val="NoSpacing"/>
        <w:ind w:firstLine="720"/>
        <w:jc w:val="both"/>
        <w:rPr>
          <w:rFonts w:ascii="Times New Roman" w:hAnsi="Times New Roman"/>
          <w:sz w:val="24"/>
          <w:szCs w:val="24"/>
          <w:lang w:val="lv-LV"/>
        </w:rPr>
      </w:pPr>
      <w:r>
        <w:rPr>
          <w:rFonts w:ascii="Times New Roman" w:hAnsi="Times New Roman"/>
          <w:sz w:val="24"/>
          <w:szCs w:val="24"/>
          <w:lang w:val="lv-LV"/>
        </w:rPr>
        <w:t>7</w:t>
      </w:r>
      <w:r w:rsidR="00086CB0" w:rsidRPr="00086CB0">
        <w:rPr>
          <w:rFonts w:ascii="Times New Roman" w:hAnsi="Times New Roman"/>
          <w:sz w:val="24"/>
          <w:szCs w:val="24"/>
          <w:lang w:val="lv-LV"/>
        </w:rPr>
        <w:t>. </w:t>
      </w:r>
      <w:r w:rsidR="00086CB0" w:rsidRPr="00086CB0">
        <w:rPr>
          <w:rFonts w:ascii="Times New Roman" w:hAnsi="Times New Roman"/>
          <w:bCs/>
          <w:iCs/>
          <w:sz w:val="24"/>
          <w:szCs w:val="24"/>
          <w:lang w:val="lv-LV"/>
        </w:rPr>
        <w:t>Lūdzam likumprojektā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likumprojektā noteikt konkrētu noilguma termiņu (</w:t>
      </w:r>
      <w:proofErr w:type="spellStart"/>
      <w:r w:rsidR="00086CB0" w:rsidRPr="00086CB0">
        <w:rPr>
          <w:rFonts w:ascii="Times New Roman" w:hAnsi="Times New Roman"/>
          <w:bCs/>
          <w:i/>
          <w:sz w:val="24"/>
          <w:szCs w:val="24"/>
          <w:lang w:val="lv-LV"/>
        </w:rPr>
        <w:t>Danovskis</w:t>
      </w:r>
      <w:proofErr w:type="spellEnd"/>
      <w:r w:rsidR="00086CB0" w:rsidRPr="00086CB0">
        <w:rPr>
          <w:rFonts w:ascii="Times New Roman" w:hAnsi="Times New Roman"/>
          <w:bCs/>
          <w:i/>
          <w:sz w:val="24"/>
          <w:szCs w:val="24"/>
          <w:lang w:val="lv-LV"/>
        </w:rPr>
        <w:t xml:space="preserve"> E. Sodu tiesību principu nozīme administratīvajās tiesībās. </w:t>
      </w:r>
      <w:proofErr w:type="spellStart"/>
      <w:r w:rsidR="00086CB0" w:rsidRPr="00086CB0">
        <w:rPr>
          <w:rFonts w:ascii="Times New Roman" w:hAnsi="Times New Roman"/>
          <w:bCs/>
          <w:i/>
          <w:sz w:val="24"/>
          <w:szCs w:val="24"/>
          <w:lang w:val="lv-LV"/>
        </w:rPr>
        <w:t>Grām</w:t>
      </w:r>
      <w:proofErr w:type="spellEnd"/>
      <w:r w:rsidR="00086CB0" w:rsidRPr="00086CB0">
        <w:rPr>
          <w:rFonts w:ascii="Times New Roman" w:hAnsi="Times New Roman"/>
          <w:bCs/>
          <w:i/>
          <w:sz w:val="24"/>
          <w:szCs w:val="24"/>
          <w:lang w:val="lv-LV"/>
        </w:rPr>
        <w:t>.: Autoru kolektīvs. Juridisko personu publiski tiesiskā atbildība. Rīga: LU Akadēmiskais apgāds, 2018, 139. lpp.</w:t>
      </w:r>
      <w:r w:rsidR="00086CB0" w:rsidRPr="00086CB0">
        <w:rPr>
          <w:rFonts w:ascii="Times New Roman" w:hAnsi="Times New Roman"/>
          <w:bCs/>
          <w:iCs/>
          <w:sz w:val="24"/>
          <w:szCs w:val="24"/>
          <w:lang w:val="lv-LV"/>
        </w:rPr>
        <w:t>).</w:t>
      </w:r>
    </w:p>
    <w:p w14:paraId="64C2B8FA" w14:textId="00677A5C" w:rsidR="00086CB0" w:rsidRPr="00086CB0" w:rsidRDefault="00BD0100" w:rsidP="00086CB0">
      <w:pPr>
        <w:pStyle w:val="NoSpacing"/>
        <w:ind w:firstLine="720"/>
        <w:jc w:val="both"/>
        <w:rPr>
          <w:rFonts w:ascii="Times New Roman" w:hAnsi="Times New Roman"/>
          <w:sz w:val="24"/>
          <w:szCs w:val="24"/>
          <w:lang w:val="lv-LV"/>
        </w:rPr>
      </w:pPr>
      <w:r>
        <w:rPr>
          <w:rFonts w:ascii="Times New Roman" w:hAnsi="Times New Roman"/>
          <w:sz w:val="24"/>
          <w:szCs w:val="24"/>
          <w:lang w:val="lv-LV"/>
        </w:rPr>
        <w:t>8</w:t>
      </w:r>
      <w:r w:rsidR="00086CB0" w:rsidRPr="00086CB0">
        <w:rPr>
          <w:rFonts w:ascii="Times New Roman" w:hAnsi="Times New Roman"/>
          <w:sz w:val="24"/>
          <w:szCs w:val="24"/>
          <w:lang w:val="lv-LV"/>
        </w:rPr>
        <w:t>. Likumprojektā ietvertie pārejas noteikumi paredz grozījumus likumprojektā, kas saistīti ar Finanšu un kapitāla tirgus komisijas pievienošanu Latvijas Bankai. Sagatavošanas noteikumu 64. punkts paredz, ka, lai izdarītu grozījumus likumā, sagatavo grozījumu likumprojektu. Ņemot vērā minēto, normas, kas paredz grozījumus likumprojektā, nav ietveramas pārejas noteikumos, bet ir sagatavojams attiecīgs grozījumu likumprojekts.</w:t>
      </w:r>
    </w:p>
    <w:p w14:paraId="1D3F3B18"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Sagatavošanas noteikumu 27. punkts paredz, ka likumprojektā, ja nepieciešams raksta pārejas noteikumus. Pārejas noteikumos nosaka pārejas kārtību no pastāvošā tiesiskā regulējuma uz jauno tiesisko regulējumu. Pārejas noteikumos neietver normas, kas darbojas pastāvīgi. Likumprojekta pārejas noteikumos varētu noteikt, ka, piemēram, līdz kaut kādam noteiktam brīdim likumprojektā paredzētos pienākumus veic Finanšu un kapitāla tirgus komisija, savukārt likumprojekta tekstā jau noteikt, ka attiecīgos pienākumus veic Latvijas Banka.</w:t>
      </w:r>
    </w:p>
    <w:p w14:paraId="1DCACD41"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Ņemot vērā minēto, lūdzam precizēt likumprojektu.</w:t>
      </w:r>
    </w:p>
    <w:p w14:paraId="0830FFAC" w14:textId="77777777" w:rsidR="00086CB0" w:rsidRPr="00086CB0" w:rsidRDefault="00086CB0" w:rsidP="00086CB0">
      <w:pPr>
        <w:pStyle w:val="NoSpacing"/>
        <w:jc w:val="both"/>
        <w:rPr>
          <w:rFonts w:ascii="Times New Roman" w:hAnsi="Times New Roman"/>
          <w:sz w:val="24"/>
          <w:szCs w:val="24"/>
          <w:u w:val="single"/>
          <w:lang w:val="lv-LV"/>
        </w:rPr>
      </w:pPr>
      <w:r w:rsidRPr="00086CB0">
        <w:rPr>
          <w:rFonts w:ascii="Times New Roman" w:hAnsi="Times New Roman"/>
          <w:sz w:val="24"/>
          <w:szCs w:val="24"/>
          <w:lang w:val="lv-LV"/>
        </w:rPr>
        <w:tab/>
      </w:r>
      <w:r w:rsidRPr="00086CB0">
        <w:rPr>
          <w:rFonts w:ascii="Times New Roman" w:hAnsi="Times New Roman"/>
          <w:sz w:val="24"/>
          <w:szCs w:val="24"/>
          <w:u w:val="single"/>
          <w:lang w:val="lv-LV"/>
        </w:rPr>
        <w:t>Vienlaikus par likumprojektu izsakām šādus priekšlikumus:</w:t>
      </w:r>
    </w:p>
    <w:p w14:paraId="5ACD20C8" w14:textId="77777777" w:rsidR="00086CB0" w:rsidRPr="00086CB0" w:rsidRDefault="00086CB0" w:rsidP="00086CB0">
      <w:pPr>
        <w:pStyle w:val="NoSpacing"/>
        <w:ind w:firstLine="720"/>
        <w:jc w:val="both"/>
        <w:rPr>
          <w:rFonts w:ascii="Times New Roman" w:hAnsi="Times New Roman"/>
          <w:sz w:val="24"/>
          <w:szCs w:val="24"/>
          <w:lang w:val="lv-LV"/>
        </w:rPr>
      </w:pPr>
      <w:r w:rsidRPr="00086CB0">
        <w:rPr>
          <w:rFonts w:ascii="Times New Roman" w:hAnsi="Times New Roman"/>
          <w:sz w:val="24"/>
          <w:szCs w:val="24"/>
          <w:lang w:val="lv-LV"/>
        </w:rPr>
        <w:t>1. Nav ieteicams vārdu "atbildēt" ("būt atbildīgam" u. tml.) lietot kā norādi uz to, ka personai ir pienākums kaut kā rīkoties, kaut ko nodrošināt vai tamlīdzīgi (sk., piemēram, likumprojekta 8. pantu). Ar atbildību pamatā saprotama juridiskā atbildība, tostarp administratīvā atbildība (sankciju piemērošana). Līdz ar to likumprojektā ieteicams vārdu "atbildēt" (pienākuma nozīmē) aizstāt ar citu vārdu (piemēram, "nodrošināt").</w:t>
      </w:r>
    </w:p>
    <w:p w14:paraId="0A6F7472" w14:textId="77777777" w:rsidR="00086CB0" w:rsidRPr="00086CB0" w:rsidRDefault="00086CB0" w:rsidP="00086CB0">
      <w:pPr>
        <w:ind w:firstLine="720"/>
        <w:rPr>
          <w:bCs/>
          <w:iCs/>
          <w:szCs w:val="24"/>
        </w:rPr>
      </w:pPr>
      <w:r w:rsidRPr="00086CB0">
        <w:rPr>
          <w:bCs/>
          <w:szCs w:val="24"/>
        </w:rPr>
        <w:t xml:space="preserve">2. Aicinām likumprojekta 12. pantā lietoto terminu </w:t>
      </w:r>
      <w:r w:rsidRPr="00086CB0">
        <w:rPr>
          <w:bCs/>
          <w:iCs/>
          <w:szCs w:val="24"/>
        </w:rPr>
        <w:t>"soda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sidRPr="00086CB0">
        <w:rPr>
          <w:bCs/>
          <w:i/>
          <w:szCs w:val="24"/>
        </w:rPr>
        <w:t xml:space="preserve"> (</w:t>
      </w:r>
      <w:proofErr w:type="spellStart"/>
      <w:r w:rsidRPr="00086CB0">
        <w:rPr>
          <w:bCs/>
          <w:i/>
          <w:szCs w:val="24"/>
        </w:rPr>
        <w:t>Danovskis</w:t>
      </w:r>
      <w:proofErr w:type="spellEnd"/>
      <w:r w:rsidRPr="00086CB0">
        <w:rPr>
          <w:bCs/>
          <w:i/>
          <w:szCs w:val="24"/>
        </w:rPr>
        <w:t xml:space="preserve"> E. Sodu tiesību principu nozīme administratīvajās tiesībās. </w:t>
      </w:r>
      <w:proofErr w:type="spellStart"/>
      <w:r w:rsidRPr="00086CB0">
        <w:rPr>
          <w:bCs/>
          <w:i/>
          <w:szCs w:val="24"/>
        </w:rPr>
        <w:t>Grām</w:t>
      </w:r>
      <w:proofErr w:type="spellEnd"/>
      <w:r w:rsidRPr="00086CB0">
        <w:rPr>
          <w:bCs/>
          <w:i/>
          <w:szCs w:val="24"/>
        </w:rPr>
        <w:t>.: Juridisko personu publiski tiesiskā atbildība. Rīga: LU Akadēmiskais apgāds, 2018, 134. lpp.</w:t>
      </w:r>
      <w:r w:rsidRPr="00086CB0">
        <w:rPr>
          <w:bCs/>
          <w:iCs/>
          <w:szCs w:val="24"/>
        </w:rPr>
        <w:t>). Līdzīgu apsvērumu dēļ ieteicams vārdus "uzlikt [personai soda naudu]" vai "izteikt [brīdinājumu]" aizstāt ar vārdu "piemērot".</w:t>
      </w:r>
    </w:p>
    <w:p w14:paraId="70D30072" w14:textId="77777777" w:rsidR="00086CB0" w:rsidRPr="00086CB0" w:rsidRDefault="00086CB0" w:rsidP="00086CB0">
      <w:pPr>
        <w:ind w:firstLine="720"/>
        <w:rPr>
          <w:bCs/>
          <w:iCs/>
          <w:szCs w:val="24"/>
        </w:rPr>
      </w:pPr>
    </w:p>
    <w:p w14:paraId="69C4F6BE" w14:textId="77777777" w:rsidR="00086CB0" w:rsidRDefault="00086CB0" w:rsidP="00086CB0">
      <w:pPr>
        <w:ind w:firstLine="720"/>
        <w:rPr>
          <w:bCs/>
          <w:iCs/>
        </w:rPr>
      </w:pPr>
      <w:r w:rsidRPr="00086CB0">
        <w:rPr>
          <w:szCs w:val="24"/>
        </w:rPr>
        <w:t xml:space="preserve">Papildus norādām, ka Tieslietu ministrija kopumā neatbalsta sodoša rakstura sankciju </w:t>
      </w:r>
      <w:r w:rsidRPr="00086CB0">
        <w:rPr>
          <w:szCs w:val="24"/>
        </w:rPr>
        <w:lastRenderedPageBreak/>
        <w:t>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w:t>
      </w:r>
      <w:r w:rsidRPr="007E53E7">
        <w:t xml:space="preserve"> risinājums ir iekļaut ar likumprojektu saistīto sodoša rakstura administratīvo sankciju piemērošanu administratīvā pārkāpuma procesa regulējumā.</w:t>
      </w:r>
    </w:p>
    <w:p w14:paraId="443AD56D" w14:textId="77777777" w:rsidR="00086CB0" w:rsidRPr="00404719" w:rsidRDefault="00086CB0" w:rsidP="00086CB0">
      <w:pPr>
        <w:ind w:firstLine="720"/>
        <w:rPr>
          <w:bCs/>
          <w:iCs/>
        </w:rPr>
      </w:pPr>
      <w:r>
        <w:t xml:space="preserve">Ministru kabineta 2021. gada 11. marta sēdes protokola Nr. 25 36. § 5. punktā noteikts uzdevums </w:t>
      </w:r>
      <w:r w:rsidRPr="00B8154E">
        <w:t>Finanšu ministrijai sadarbībā ar Tieslietu ministriju līdz 2023.</w:t>
      </w:r>
      <w:r>
        <w:t> </w:t>
      </w:r>
      <w:r w:rsidRPr="00B8154E">
        <w:t>gada 1.</w:t>
      </w:r>
      <w:r>
        <w:t> </w:t>
      </w:r>
      <w:r w:rsidRPr="00B8154E">
        <w:t>janvārim sagatavot priekšlikumus par sodoša rakstura administratīvajām sankcijām un procesuālajām garantijām privātpersonām finanšu tirgu regulējošajos normatīvajos aktos, lai nošķirtu administratīvās atbildības un administratīvā procesa piemērošanu šajā jomā.</w:t>
      </w:r>
      <w:r>
        <w:t xml:space="preserve"> Minētais uzdevums attiecināms arī uz šo likumprojektu.</w:t>
      </w:r>
    </w:p>
    <w:p w14:paraId="201AA0D9" w14:textId="77777777" w:rsidR="00086CB0" w:rsidRDefault="00086CB0" w:rsidP="00086CB0">
      <w:pPr>
        <w:ind w:firstLine="720"/>
      </w:pPr>
    </w:p>
    <w:p w14:paraId="38996E0A" w14:textId="77777777" w:rsidR="00086CB0" w:rsidRPr="00404719" w:rsidRDefault="00086CB0" w:rsidP="00086CB0">
      <w:pPr>
        <w:ind w:firstLine="720"/>
      </w:pPr>
      <w:r w:rsidRPr="00594C3B">
        <w:rPr>
          <w:szCs w:val="24"/>
          <w:u w:val="single"/>
        </w:rPr>
        <w:t>Par likumprojektu "Grozījumi Finanšu instrumentu tirgus likumā" (turpmāk – grozījumu likumprojekts) izsakām šādu priekšlikumu:</w:t>
      </w:r>
    </w:p>
    <w:p w14:paraId="711F3ADD" w14:textId="77777777" w:rsidR="00086CB0" w:rsidRPr="00086CB0" w:rsidRDefault="00086CB0" w:rsidP="00086CB0">
      <w:pPr>
        <w:pStyle w:val="NoSpacing"/>
        <w:jc w:val="both"/>
        <w:rPr>
          <w:rFonts w:ascii="Times New Roman" w:hAnsi="Times New Roman"/>
          <w:sz w:val="24"/>
          <w:szCs w:val="24"/>
          <w:lang w:val="lv-LV"/>
        </w:rPr>
      </w:pPr>
      <w:r>
        <w:rPr>
          <w:szCs w:val="24"/>
          <w:lang w:val="lv-LV"/>
        </w:rPr>
        <w:tab/>
      </w:r>
      <w:r w:rsidRPr="00086CB0">
        <w:rPr>
          <w:rFonts w:ascii="Times New Roman" w:hAnsi="Times New Roman"/>
          <w:sz w:val="24"/>
          <w:szCs w:val="24"/>
          <w:lang w:val="lv-LV"/>
        </w:rPr>
        <w:t>Grozījumu likumprojekta sākotnējās ietekmes novērtējuma ziņojuma (anotācijas) kopsavilkumā norādīts, ka grozījumu likumprojekts stāsies spēkā vienlaikus ar likumprojektu, bet ne vēlāk kā 2021. gada 10. novembrī. Savukārt grozījumu likumprojekta spēkā stāšanās noteikums paredz, ka grozījumu likumprojekts stāsies spēkā 2021. gada 10. novembrī. Līdz ar to pēc būtības grozījumu likumprojektam ir noteikta patstāvīga spēkā stāšanās, nevis vienlaicīga spēkā stāšanās ar likumprojektu. Ņemot vērā minēto, aicinām precizēt grozījumu likumprojekta sākotnējās ietekmes novērtējuma ziņojuma (anotācijas) kopsavilkumā norādīto informāciju atbilstoši grozījumu likumprojektā paredzētajam.</w:t>
      </w:r>
    </w:p>
    <w:p w14:paraId="56222A31" w14:textId="77777777" w:rsidR="00086CB0" w:rsidRPr="00086CB0" w:rsidRDefault="00086CB0" w:rsidP="00086CB0">
      <w:pPr>
        <w:pStyle w:val="NoSpacing"/>
        <w:jc w:val="both"/>
        <w:rPr>
          <w:rFonts w:ascii="Times New Roman" w:hAnsi="Times New Roman"/>
          <w:sz w:val="24"/>
          <w:szCs w:val="24"/>
          <w:lang w:val="lv-LV"/>
        </w:rPr>
      </w:pPr>
      <w:r w:rsidRPr="00086CB0">
        <w:rPr>
          <w:rFonts w:ascii="Times New Roman" w:hAnsi="Times New Roman"/>
          <w:sz w:val="24"/>
          <w:szCs w:val="24"/>
          <w:lang w:val="lv-LV"/>
        </w:rPr>
        <w:tab/>
        <w:t>Vienlaikus aicinām izvērtēt, vai grozījumu likumprojekts var stāties spēkā, ja spēkā nav stājies likumprojekts. Proti, ja likumprojektu Saeima nepieņems līdz 2021. gada 10. novembrim, vai grozījumu likumprojekts var stāties spēkā. No minētā ir atkarīgs tas, vai grozījumu likumprojekta spēkā stāšanās noteikumā skaidri nebūtu jāparedz, ka tas stājas spēkā vienlaikus ar likumprojektu, nevis konkrētajā datumā.</w:t>
      </w:r>
    </w:p>
    <w:p w14:paraId="0FFDDC14" w14:textId="77777777" w:rsidR="00841660" w:rsidRPr="00421500" w:rsidRDefault="00841660" w:rsidP="00841660">
      <w:pPr>
        <w:pStyle w:val="NormalWeb"/>
        <w:spacing w:before="0" w:after="0"/>
        <w:jc w:val="both"/>
      </w:pPr>
    </w:p>
    <w:p w14:paraId="6A05A809" w14:textId="53E9A41A" w:rsidR="000B3529" w:rsidRPr="00DF6A44" w:rsidRDefault="000B3529" w:rsidP="00707863">
      <w:pPr>
        <w:ind w:firstLine="720"/>
        <w:rPr>
          <w:szCs w:val="24"/>
        </w:rPr>
      </w:pPr>
    </w:p>
    <w:p w14:paraId="6A2782BC" w14:textId="77777777" w:rsidR="00714AA2" w:rsidRPr="00DF6A44" w:rsidRDefault="00714AA2" w:rsidP="00714AA2">
      <w:pPr>
        <w:tabs>
          <w:tab w:val="left" w:pos="993"/>
        </w:tabs>
        <w:rPr>
          <w:szCs w:val="24"/>
        </w:rPr>
      </w:pPr>
      <w:r w:rsidRPr="00DF6A44">
        <w:rPr>
          <w:szCs w:val="24"/>
        </w:rPr>
        <w:t>Valsts sekretāra vietniece</w:t>
      </w:r>
    </w:p>
    <w:p w14:paraId="237C0AF9" w14:textId="11A25B61" w:rsidR="00714AA2" w:rsidRPr="00DF6A44" w:rsidRDefault="00F70F03" w:rsidP="00106CB1">
      <w:pPr>
        <w:tabs>
          <w:tab w:val="left" w:pos="993"/>
          <w:tab w:val="left" w:pos="7797"/>
        </w:tabs>
        <w:rPr>
          <w:szCs w:val="24"/>
        </w:rPr>
      </w:pPr>
      <w:r w:rsidRPr="00DF6A44">
        <w:rPr>
          <w:szCs w:val="24"/>
        </w:rPr>
        <w:t xml:space="preserve">tiesību politikas jautājumos                                                               </w:t>
      </w:r>
      <w:r w:rsidR="00106CB1">
        <w:rPr>
          <w:szCs w:val="24"/>
        </w:rPr>
        <w:tab/>
      </w:r>
      <w:r w:rsidR="0040661A">
        <w:rPr>
          <w:szCs w:val="24"/>
        </w:rPr>
        <w:t xml:space="preserve">L. </w:t>
      </w:r>
      <w:r w:rsidR="00714AA2" w:rsidRPr="00DF6A44">
        <w:rPr>
          <w:szCs w:val="24"/>
        </w:rPr>
        <w:t>Medina</w:t>
      </w:r>
    </w:p>
    <w:p w14:paraId="5A39BBE3" w14:textId="77777777" w:rsidR="00714AA2" w:rsidRPr="00996A29" w:rsidRDefault="00714AA2" w:rsidP="00714AA2">
      <w:pPr>
        <w:tabs>
          <w:tab w:val="left" w:pos="993"/>
          <w:tab w:val="left" w:pos="8222"/>
        </w:tabs>
        <w:rPr>
          <w:sz w:val="20"/>
          <w:szCs w:val="20"/>
        </w:rPr>
      </w:pPr>
    </w:p>
    <w:p w14:paraId="41C8F396" w14:textId="77777777" w:rsidR="00714AA2" w:rsidRPr="00996A29" w:rsidRDefault="00714AA2" w:rsidP="00714AA2">
      <w:pPr>
        <w:rPr>
          <w:sz w:val="20"/>
          <w:szCs w:val="20"/>
        </w:rPr>
      </w:pPr>
    </w:p>
    <w:p w14:paraId="72A3D3EC" w14:textId="77777777" w:rsidR="00965814" w:rsidRDefault="00965814" w:rsidP="00807DC7">
      <w:pPr>
        <w:rPr>
          <w:color w:val="000000" w:themeColor="text1"/>
          <w:szCs w:val="24"/>
        </w:rPr>
      </w:pPr>
    </w:p>
    <w:p w14:paraId="58C899FE" w14:textId="3926C518" w:rsidR="00DF6A44" w:rsidRPr="00E4563F" w:rsidRDefault="6843023D" w:rsidP="0D55B7E6">
      <w:pPr>
        <w:rPr>
          <w:color w:val="000000" w:themeColor="text1"/>
        </w:rPr>
      </w:pPr>
      <w:r w:rsidRPr="0D55B7E6">
        <w:rPr>
          <w:color w:val="000000" w:themeColor="text1"/>
        </w:rPr>
        <w:t>Arta Puriņa</w:t>
      </w:r>
      <w:r w:rsidR="00807DC7" w:rsidRPr="0D55B7E6">
        <w:rPr>
          <w:color w:val="000000" w:themeColor="text1"/>
        </w:rPr>
        <w:t xml:space="preserve"> </w:t>
      </w:r>
    </w:p>
    <w:p w14:paraId="6D93C830" w14:textId="1DD90541" w:rsidR="00DF6A44" w:rsidRPr="00E4563F" w:rsidRDefault="5707E3A7" w:rsidP="0D55B7E6">
      <w:pPr>
        <w:rPr>
          <w:color w:val="000000" w:themeColor="text1"/>
        </w:rPr>
      </w:pPr>
      <w:r w:rsidRPr="0D55B7E6">
        <w:rPr>
          <w:color w:val="000000" w:themeColor="text1"/>
        </w:rPr>
        <w:t>juriste</w:t>
      </w:r>
    </w:p>
    <w:p w14:paraId="3AB97BA0" w14:textId="2CA4571A" w:rsidR="00807DC7" w:rsidRDefault="5707E3A7" w:rsidP="0D55B7E6">
      <w:pPr>
        <w:rPr>
          <w:rFonts w:eastAsia="Times New Roman"/>
          <w:color w:val="000000" w:themeColor="text1"/>
        </w:rPr>
      </w:pPr>
      <w:r w:rsidRPr="0D55B7E6">
        <w:rPr>
          <w:rFonts w:eastAsia="Times New Roman"/>
          <w:color w:val="000000" w:themeColor="text1"/>
        </w:rPr>
        <w:t>67036819</w:t>
      </w:r>
      <w:r w:rsidR="00DF6A44" w:rsidRPr="0D55B7E6">
        <w:rPr>
          <w:rFonts w:eastAsia="Times New Roman"/>
          <w:color w:val="000000" w:themeColor="text1"/>
        </w:rPr>
        <w:t xml:space="preserve">, </w:t>
      </w:r>
      <w:hyperlink r:id="rId7" w:history="1">
        <w:r w:rsidR="00086CB0" w:rsidRPr="007527F8">
          <w:rPr>
            <w:rStyle w:val="Hyperlink"/>
            <w:rFonts w:eastAsia="Times New Roman"/>
          </w:rPr>
          <w:t>arta.purina@tm.gov.lv</w:t>
        </w:r>
      </w:hyperlink>
    </w:p>
    <w:p w14:paraId="106B94B3" w14:textId="37AE4947" w:rsidR="00086CB0" w:rsidRDefault="00086CB0" w:rsidP="0D55B7E6">
      <w:pPr>
        <w:rPr>
          <w:rFonts w:eastAsia="Times New Roman"/>
          <w:color w:val="000000" w:themeColor="text1"/>
        </w:rPr>
      </w:pPr>
    </w:p>
    <w:p w14:paraId="343DF18D" w14:textId="6896F00D" w:rsidR="00086CB0" w:rsidRDefault="00086CB0" w:rsidP="0D55B7E6">
      <w:pPr>
        <w:rPr>
          <w:rFonts w:eastAsia="Times New Roman"/>
          <w:color w:val="000000" w:themeColor="text1"/>
        </w:rPr>
      </w:pPr>
      <w:r>
        <w:rPr>
          <w:rFonts w:eastAsia="Times New Roman"/>
          <w:color w:val="000000" w:themeColor="text1"/>
        </w:rPr>
        <w:t>Linda Upīte</w:t>
      </w:r>
    </w:p>
    <w:p w14:paraId="01842208" w14:textId="344991C1" w:rsidR="00086CB0" w:rsidRDefault="00086CB0" w:rsidP="0D55B7E6">
      <w:pPr>
        <w:rPr>
          <w:rFonts w:eastAsia="Times New Roman"/>
          <w:color w:val="000000" w:themeColor="text1"/>
        </w:rPr>
      </w:pPr>
      <w:r>
        <w:rPr>
          <w:rFonts w:eastAsia="Times New Roman"/>
          <w:color w:val="000000" w:themeColor="text1"/>
        </w:rPr>
        <w:t>juriste</w:t>
      </w:r>
    </w:p>
    <w:p w14:paraId="38685C54" w14:textId="2F6EDD6A" w:rsidR="00086CB0" w:rsidRDefault="00086CB0" w:rsidP="0D55B7E6">
      <w:pPr>
        <w:rPr>
          <w:rFonts w:eastAsia="Times New Roman"/>
          <w:color w:val="000000" w:themeColor="text1"/>
        </w:rPr>
      </w:pPr>
      <w:r>
        <w:rPr>
          <w:rFonts w:eastAsia="Times New Roman"/>
          <w:color w:val="000000" w:themeColor="text1"/>
        </w:rPr>
        <w:t xml:space="preserve">67046102, </w:t>
      </w:r>
      <w:hyperlink r:id="rId8" w:history="1">
        <w:r w:rsidRPr="007527F8">
          <w:rPr>
            <w:rStyle w:val="Hyperlink"/>
            <w:rFonts w:eastAsia="Times New Roman"/>
          </w:rPr>
          <w:t>linda.upite@tm.gov.lv</w:t>
        </w:r>
      </w:hyperlink>
    </w:p>
    <w:p w14:paraId="53D7C087" w14:textId="4B3103A0" w:rsidR="00086CB0" w:rsidRDefault="00086CB0" w:rsidP="0D55B7E6">
      <w:pPr>
        <w:rPr>
          <w:rFonts w:eastAsia="Times New Roman"/>
          <w:color w:val="000000" w:themeColor="text1"/>
        </w:rPr>
      </w:pPr>
    </w:p>
    <w:p w14:paraId="3264DBFB" w14:textId="185ABA7E" w:rsidR="00086CB0" w:rsidRDefault="00086CB0" w:rsidP="0D55B7E6">
      <w:pPr>
        <w:rPr>
          <w:rFonts w:eastAsia="Times New Roman"/>
          <w:color w:val="000000" w:themeColor="text1"/>
        </w:rPr>
      </w:pPr>
      <w:r>
        <w:rPr>
          <w:rFonts w:eastAsia="Times New Roman"/>
          <w:color w:val="000000" w:themeColor="text1"/>
        </w:rPr>
        <w:t>Sandis Vilciņš</w:t>
      </w:r>
    </w:p>
    <w:p w14:paraId="6BB12287" w14:textId="38F8D17C" w:rsidR="00086CB0" w:rsidRDefault="00086CB0" w:rsidP="0D55B7E6">
      <w:pPr>
        <w:rPr>
          <w:rFonts w:eastAsia="Times New Roman"/>
          <w:color w:val="000000" w:themeColor="text1"/>
        </w:rPr>
      </w:pPr>
      <w:r>
        <w:rPr>
          <w:rFonts w:eastAsia="Times New Roman"/>
          <w:color w:val="000000" w:themeColor="text1"/>
        </w:rPr>
        <w:t>jurists</w:t>
      </w:r>
    </w:p>
    <w:p w14:paraId="37606018" w14:textId="5E4AB8FC" w:rsidR="00086CB0" w:rsidRDefault="00086CB0" w:rsidP="0D55B7E6">
      <w:pPr>
        <w:rPr>
          <w:rFonts w:eastAsia="Times New Roman"/>
          <w:color w:val="000000" w:themeColor="text1"/>
        </w:rPr>
      </w:pPr>
      <w:r>
        <w:rPr>
          <w:rFonts w:eastAsia="Times New Roman"/>
          <w:color w:val="000000" w:themeColor="text1"/>
        </w:rPr>
        <w:t xml:space="preserve">67036901, </w:t>
      </w:r>
      <w:hyperlink r:id="rId9" w:history="1">
        <w:r w:rsidRPr="007527F8">
          <w:rPr>
            <w:rStyle w:val="Hyperlink"/>
            <w:rFonts w:eastAsia="Times New Roman"/>
          </w:rPr>
          <w:t>sandis.vilcins@tm.gov.lv</w:t>
        </w:r>
      </w:hyperlink>
    </w:p>
    <w:p w14:paraId="7E3A9240" w14:textId="77777777" w:rsidR="00086CB0" w:rsidRPr="00E4563F" w:rsidRDefault="00086CB0" w:rsidP="0D55B7E6">
      <w:pPr>
        <w:rPr>
          <w:rFonts w:eastAsia="Times New Roman"/>
          <w:color w:val="000000" w:themeColor="text1"/>
        </w:rPr>
      </w:pPr>
    </w:p>
    <w:p w14:paraId="0D0B940D" w14:textId="77777777" w:rsidR="008F7351" w:rsidRPr="00106CB1" w:rsidRDefault="008F7351" w:rsidP="00807DC7">
      <w:pPr>
        <w:rPr>
          <w:color w:val="000000" w:themeColor="text1"/>
          <w:sz w:val="20"/>
          <w:szCs w:val="20"/>
        </w:rPr>
      </w:pPr>
    </w:p>
    <w:p w14:paraId="25FAAD0E" w14:textId="3A9D2ACB" w:rsidR="00FE3C37" w:rsidRPr="00E4563F" w:rsidRDefault="00FE3C37" w:rsidP="008F7351">
      <w:pPr>
        <w:ind w:firstLine="300"/>
        <w:rPr>
          <w:b/>
          <w:color w:val="984806"/>
          <w:sz w:val="22"/>
        </w:rPr>
      </w:pPr>
    </w:p>
    <w:sectPr w:rsidR="00FE3C37" w:rsidRPr="00E4563F" w:rsidSect="00DE232E">
      <w:headerReference w:type="default" r:id="rId10"/>
      <w:footerReference w:type="default" r:id="rId11"/>
      <w:headerReference w:type="first" r:id="rId12"/>
      <w:footerReference w:type="first" r:id="rId13"/>
      <w:pgSz w:w="11920" w:h="16840"/>
      <w:pgMar w:top="1418"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C7AA81" w14:textId="77777777" w:rsidR="001B294C" w:rsidRDefault="001B294C" w:rsidP="00714AA2">
      <w:r>
        <w:separator/>
      </w:r>
    </w:p>
  </w:endnote>
  <w:endnote w:type="continuationSeparator" w:id="0">
    <w:p w14:paraId="55FB43A7" w14:textId="77777777" w:rsidR="001B294C" w:rsidRDefault="001B294C" w:rsidP="00714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FC5A0" w14:textId="4F9118C1" w:rsidR="001F71D5" w:rsidRPr="00122B60" w:rsidRDefault="008267E4" w:rsidP="008B2C9A">
    <w:pPr>
      <w:pStyle w:val="Foote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086CB0">
      <w:rPr>
        <w:noProof/>
        <w:sz w:val="20"/>
        <w:szCs w:val="20"/>
      </w:rPr>
      <w:t>TMAtz_080521_FM_FITL.docx</w:t>
    </w:r>
    <w:r w:rsidRPr="00122B6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0818" w14:textId="77777777" w:rsidR="00E255DC" w:rsidRDefault="00E255DC" w:rsidP="00E255DC">
    <w:pPr>
      <w:rPr>
        <w:sz w:val="20"/>
        <w:szCs w:val="20"/>
      </w:rPr>
    </w:pPr>
  </w:p>
  <w:p w14:paraId="4579CDB7" w14:textId="440BC3EB" w:rsidR="00F363D0" w:rsidRPr="00122B60" w:rsidRDefault="008267E4" w:rsidP="00E255DC">
    <w:pPr>
      <w:rPr>
        <w:sz w:val="20"/>
        <w:szCs w:val="20"/>
      </w:rPr>
    </w:pPr>
    <w:r w:rsidRPr="00122B60">
      <w:rPr>
        <w:sz w:val="20"/>
        <w:szCs w:val="20"/>
      </w:rPr>
      <w:fldChar w:fldCharType="begin"/>
    </w:r>
    <w:r w:rsidRPr="00122B60">
      <w:rPr>
        <w:sz w:val="20"/>
        <w:szCs w:val="20"/>
      </w:rPr>
      <w:instrText xml:space="preserve"> FILENAME   \* MERGEFORMAT </w:instrText>
    </w:r>
    <w:r w:rsidRPr="00122B60">
      <w:rPr>
        <w:sz w:val="20"/>
        <w:szCs w:val="20"/>
      </w:rPr>
      <w:fldChar w:fldCharType="separate"/>
    </w:r>
    <w:r w:rsidR="00086CB0">
      <w:rPr>
        <w:noProof/>
        <w:sz w:val="20"/>
        <w:szCs w:val="20"/>
      </w:rPr>
      <w:t>TMAtz_080521_FM_FITL.docx</w:t>
    </w:r>
    <w:r w:rsidRPr="00122B60">
      <w:rPr>
        <w:sz w:val="20"/>
        <w:szCs w:val="20"/>
      </w:rPr>
      <w:fldChar w:fldCharType="end"/>
    </w:r>
    <w:r w:rsidR="00E255D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5FE96" w14:textId="77777777" w:rsidR="001B294C" w:rsidRDefault="001B294C" w:rsidP="00714AA2">
      <w:r>
        <w:separator/>
      </w:r>
    </w:p>
  </w:footnote>
  <w:footnote w:type="continuationSeparator" w:id="0">
    <w:p w14:paraId="71132759" w14:textId="77777777" w:rsidR="001B294C" w:rsidRDefault="001B294C" w:rsidP="00714A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546F9" w14:textId="01A9C5CC" w:rsidR="00F363D0" w:rsidRDefault="008267E4">
    <w:pPr>
      <w:pStyle w:val="Header"/>
      <w:jc w:val="center"/>
    </w:pPr>
    <w:r>
      <w:fldChar w:fldCharType="begin"/>
    </w:r>
    <w:r>
      <w:instrText>PAGE   \* MERGEFORMAT</w:instrText>
    </w:r>
    <w:r>
      <w:fldChar w:fldCharType="separate"/>
    </w:r>
    <w:r w:rsidR="00501EE1">
      <w:rPr>
        <w:noProof/>
      </w:rPr>
      <w:t>6</w:t>
    </w:r>
    <w:r>
      <w:fldChar w:fldCharType="end"/>
    </w:r>
  </w:p>
  <w:p w14:paraId="60061E4C" w14:textId="77777777" w:rsidR="00F363D0" w:rsidRDefault="00D02A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F363D0" w:rsidRDefault="00D02AD4" w:rsidP="006F4AEC">
    <w:pPr>
      <w:pStyle w:val="Header"/>
    </w:pPr>
  </w:p>
  <w:p w14:paraId="2D803204" w14:textId="77777777" w:rsidR="00F363D0" w:rsidRDefault="008267E4" w:rsidP="006F4AEC">
    <w:pPr>
      <w:pStyle w:val="Header"/>
    </w:pPr>
    <w:r>
      <w:rPr>
        <w:noProof/>
        <w:lang w:val="en-US"/>
      </w:rPr>
      <w:drawing>
        <wp:anchor distT="0" distB="0" distL="114300" distR="114300" simplePos="0" relativeHeight="251661312" behindDoc="1" locked="0" layoutInCell="1" allowOverlap="1" wp14:anchorId="373D5FDE" wp14:editId="48939965">
          <wp:simplePos x="0" y="0"/>
          <wp:positionH relativeFrom="margin">
            <wp:align>center</wp:align>
          </wp:positionH>
          <wp:positionV relativeFrom="paragraph">
            <wp:posOffset>84455</wp:posOffset>
          </wp:positionV>
          <wp:extent cx="5915025" cy="1066800"/>
          <wp:effectExtent l="0" t="0" r="0" b="0"/>
          <wp:wrapNone/>
          <wp:docPr id="1" name="Attēls 1"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28261" w14:textId="77777777" w:rsidR="00F363D0" w:rsidRDefault="00D02AD4" w:rsidP="006F4AEC">
    <w:pPr>
      <w:pStyle w:val="Header"/>
    </w:pPr>
  </w:p>
  <w:p w14:paraId="62486C05" w14:textId="77777777" w:rsidR="00F363D0" w:rsidRDefault="00D02AD4" w:rsidP="006F4AEC">
    <w:pPr>
      <w:pStyle w:val="Header"/>
    </w:pPr>
  </w:p>
  <w:p w14:paraId="4101652C" w14:textId="77777777" w:rsidR="00F363D0" w:rsidRDefault="00D02AD4" w:rsidP="006F4AEC">
    <w:pPr>
      <w:pStyle w:val="Header"/>
    </w:pPr>
  </w:p>
  <w:p w14:paraId="4B99056E" w14:textId="77777777" w:rsidR="00F363D0" w:rsidRDefault="00D02AD4" w:rsidP="006F4AEC">
    <w:pPr>
      <w:pStyle w:val="Header"/>
    </w:pPr>
  </w:p>
  <w:p w14:paraId="1299C43A" w14:textId="77777777" w:rsidR="00F363D0" w:rsidRDefault="00D02AD4" w:rsidP="006F4AEC">
    <w:pPr>
      <w:pStyle w:val="Header"/>
    </w:pPr>
  </w:p>
  <w:p w14:paraId="4DDBEF00" w14:textId="77777777" w:rsidR="00F363D0" w:rsidRDefault="00D02AD4" w:rsidP="006F4AEC">
    <w:pPr>
      <w:pStyle w:val="Header"/>
    </w:pPr>
  </w:p>
  <w:p w14:paraId="3461D779" w14:textId="77777777" w:rsidR="00F363D0" w:rsidRDefault="00D02AD4" w:rsidP="006F4AEC">
    <w:pPr>
      <w:pStyle w:val="Header"/>
    </w:pPr>
  </w:p>
  <w:p w14:paraId="3CF2D8B6" w14:textId="77777777" w:rsidR="00F363D0" w:rsidRDefault="00D02AD4" w:rsidP="006F4AEC">
    <w:pPr>
      <w:pStyle w:val="Header"/>
    </w:pPr>
  </w:p>
  <w:p w14:paraId="0FB78278" w14:textId="77777777" w:rsidR="00F363D0" w:rsidRDefault="00D02AD4" w:rsidP="006F4AEC">
    <w:pPr>
      <w:pStyle w:val="Header"/>
    </w:pPr>
  </w:p>
  <w:p w14:paraId="4B93DB70" w14:textId="77777777" w:rsidR="00F363D0" w:rsidRPr="00C836FF" w:rsidRDefault="008267E4" w:rsidP="006F4AEC">
    <w:pPr>
      <w:pStyle w:val="Header"/>
      <w:jc w:val="center"/>
      <w:rPr>
        <w:szCs w:val="24"/>
      </w:rPr>
    </w:pPr>
    <w:r>
      <w:rPr>
        <w:noProof/>
        <w:lang w:val="en-US"/>
      </w:rPr>
      <mc:AlternateContent>
        <mc:Choice Requires="wps">
          <w:drawing>
            <wp:anchor distT="0" distB="0" distL="114300" distR="114300" simplePos="0" relativeHeight="251660288" behindDoc="1" locked="0" layoutInCell="1" allowOverlap="1" wp14:anchorId="6170980C" wp14:editId="3785F4D4">
              <wp:simplePos x="0" y="0"/>
              <wp:positionH relativeFrom="page">
                <wp:posOffset>1171575</wp:posOffset>
              </wp:positionH>
              <wp:positionV relativeFrom="page">
                <wp:posOffset>2030730</wp:posOffset>
              </wp:positionV>
              <wp:extent cx="5838825" cy="314325"/>
              <wp:effectExtent l="0" t="0" r="9525" b="9525"/>
              <wp:wrapNone/>
              <wp:docPr id="6" name="Tekstlodziņš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E63C"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79D7EC9" w14:textId="77777777" w:rsidR="00F363D0" w:rsidRPr="006C6018" w:rsidRDefault="008267E4" w:rsidP="006F4AEC">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6170980C">
              <v:stroke joinstyle="miter"/>
              <v:path gradientshapeok="t" o:connecttype="rect"/>
            </v:shapetype>
            <v:shape id="Tekstlodziņš 6" style="position:absolute;left:0;text-align:left;margin-left:92.25pt;margin-top:159.9pt;width:459.75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">
              <v:textbox inset="0,0,0,0">
                <w:txbxContent>
                  <w:p w:rsidRPr="006C6018" w:rsidR="00F363D0" w:rsidP="006F4AEC" w:rsidRDefault="008267E4" w14:paraId="6FF4E63C"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F363D0" w:rsidP="006F4AEC" w:rsidRDefault="008267E4" w14:paraId="579D7EC9" w14:textId="77777777">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6C6018">
                      <w:rPr>
                        <w:rFonts w:eastAsia="Times New Roman"/>
                        <w:sz w:val="17"/>
                        <w:szCs w:val="17"/>
                      </w:rPr>
                      <w:t>tm.kanceleja@tm.gov.lv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val="en-US"/>
      </w:rPr>
      <mc:AlternateContent>
        <mc:Choice Requires="wpg">
          <w:drawing>
            <wp:anchor distT="0" distB="0" distL="114300" distR="114300" simplePos="0" relativeHeight="251659264" behindDoc="1" locked="0" layoutInCell="1" allowOverlap="1" wp14:anchorId="290E3525" wp14:editId="211994E6">
              <wp:simplePos x="0" y="0"/>
              <wp:positionH relativeFrom="page">
                <wp:posOffset>1850390</wp:posOffset>
              </wp:positionH>
              <wp:positionV relativeFrom="page">
                <wp:posOffset>1903095</wp:posOffset>
              </wp:positionV>
              <wp:extent cx="4397375" cy="1270"/>
              <wp:effectExtent l="0" t="0" r="22225" b="17780"/>
              <wp:wrapNone/>
              <wp:docPr id="4" name="Grupa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group id="Grupa 4"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" w14:anchorId="2CB148E2">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r w:rsidRPr="00C836FF">
      <w:rPr>
        <w:szCs w:val="24"/>
      </w:rPr>
      <w:t>Rīgā</w:t>
    </w:r>
  </w:p>
  <w:p w14:paraId="1FC39945" w14:textId="77777777" w:rsidR="00F363D0" w:rsidRPr="00C836FF" w:rsidRDefault="00D02AD4" w:rsidP="006F4AEC">
    <w:pPr>
      <w:jc w:val="center"/>
      <w:rPr>
        <w:szCs w:val="24"/>
      </w:rPr>
    </w:pPr>
  </w:p>
  <w:p w14:paraId="0562CB0E" w14:textId="77777777" w:rsidR="00127B76" w:rsidRPr="00C836FF" w:rsidRDefault="00127B76" w:rsidP="00127B76">
    <w:pPr>
      <w:jc w:val="center"/>
    </w:pPr>
  </w:p>
  <w:tbl>
    <w:tblPr>
      <w:tblW w:w="0" w:type="auto"/>
      <w:tblInd w:w="108" w:type="dxa"/>
      <w:tblBorders>
        <w:bottom w:val="single" w:sz="4" w:space="0" w:color="auto"/>
      </w:tblBorders>
      <w:tblCellMar>
        <w:left w:w="0" w:type="dxa"/>
        <w:right w:w="0" w:type="dxa"/>
      </w:tblCellMar>
      <w:tblLook w:val="04A0" w:firstRow="1" w:lastRow="0" w:firstColumn="1" w:lastColumn="0" w:noHBand="0" w:noVBand="1"/>
    </w:tblPr>
    <w:tblGrid>
      <w:gridCol w:w="1810"/>
      <w:gridCol w:w="420"/>
      <w:gridCol w:w="1890"/>
    </w:tblGrid>
    <w:tr w:rsidR="00127B76" w14:paraId="5021DA3E" w14:textId="77777777" w:rsidTr="007F25C4">
      <w:tc>
        <w:tcPr>
          <w:tcW w:w="1810" w:type="dxa"/>
          <w:shd w:val="clear" w:color="auto" w:fill="auto"/>
        </w:tcPr>
        <w:p w14:paraId="34CE0A41" w14:textId="77777777" w:rsidR="00127B76" w:rsidRDefault="00127B76" w:rsidP="00127B76">
          <w:pPr>
            <w:pStyle w:val="Header"/>
            <w:jc w:val="center"/>
          </w:pPr>
          <w:r>
            <w:t>17.05.2021</w:t>
          </w:r>
        </w:p>
      </w:tc>
      <w:tc>
        <w:tcPr>
          <w:tcW w:w="420" w:type="dxa"/>
          <w:tcBorders>
            <w:bottom w:val="nil"/>
          </w:tcBorders>
          <w:shd w:val="clear" w:color="auto" w:fill="auto"/>
        </w:tcPr>
        <w:p w14:paraId="651FB84D" w14:textId="77777777" w:rsidR="00127B76" w:rsidRDefault="00127B76" w:rsidP="00127B76">
          <w:pPr>
            <w:pStyle w:val="Header"/>
          </w:pPr>
          <w:r>
            <w:t xml:space="preserve"> Nr.</w:t>
          </w:r>
        </w:p>
      </w:tc>
      <w:tc>
        <w:tcPr>
          <w:tcW w:w="1890" w:type="dxa"/>
          <w:shd w:val="clear" w:color="auto" w:fill="auto"/>
        </w:tcPr>
        <w:p w14:paraId="62EBF3C5" w14:textId="77777777" w:rsidR="00127B76" w:rsidRDefault="00127B76" w:rsidP="00127B76">
          <w:pPr>
            <w:pStyle w:val="Header"/>
            <w:jc w:val="center"/>
          </w:pPr>
          <w:r>
            <w:t>1-9.1/534</w:t>
          </w:r>
        </w:p>
      </w:tc>
    </w:tr>
  </w:tbl>
  <w:p w14:paraId="6D98A12B" w14:textId="77777777" w:rsidR="00127B76" w:rsidRDefault="00127B76" w:rsidP="00127B76">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3AC"/>
    <w:multiLevelType w:val="hybridMultilevel"/>
    <w:tmpl w:val="EB7EE3D2"/>
    <w:lvl w:ilvl="0" w:tplc="21DAFE1A">
      <w:start w:val="1"/>
      <w:numFmt w:val="decimal"/>
      <w:lvlText w:val="%1."/>
      <w:lvlJc w:val="left"/>
      <w:pPr>
        <w:ind w:left="1080" w:hanging="360"/>
      </w:pPr>
      <w:rPr>
        <w:rFonts w:eastAsia="Calibri" w:hint="default"/>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8E7E51"/>
    <w:multiLevelType w:val="multilevel"/>
    <w:tmpl w:val="1E60B8A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28EE7B2A"/>
    <w:multiLevelType w:val="multilevel"/>
    <w:tmpl w:val="7EF64C1E"/>
    <w:lvl w:ilvl="0">
      <w:start w:val="1"/>
      <w:numFmt w:val="decimal"/>
      <w:lvlText w:val="%1."/>
      <w:lvlJc w:val="left"/>
      <w:pPr>
        <w:ind w:left="1287" w:hanging="360"/>
      </w:pPr>
      <w:rPr>
        <w:rFonts w:ascii="Times New Roman" w:eastAsia="Times New Roman" w:hAnsi="Times New Roman" w:cs="Times New Roman"/>
      </w:rPr>
    </w:lvl>
    <w:lvl w:ilvl="1">
      <w:start w:val="1"/>
      <w:numFmt w:val="decimal"/>
      <w:lvlText w:val="%1.%2."/>
      <w:lvlJc w:val="left"/>
      <w:pPr>
        <w:ind w:left="2007" w:hanging="360"/>
      </w:pPr>
    </w:lvl>
    <w:lvl w:ilvl="2">
      <w:start w:val="1"/>
      <w:numFmt w:val="decimal"/>
      <w:lvlText w:val="%1.%2.%3."/>
      <w:lvlJc w:val="left"/>
      <w:pPr>
        <w:ind w:left="2727" w:hanging="180"/>
      </w:pPr>
    </w:lvl>
    <w:lvl w:ilvl="3">
      <w:start w:val="1"/>
      <w:numFmt w:val="decimal"/>
      <w:lvlText w:val="%1.%2.%3.%4."/>
      <w:lvlJc w:val="left"/>
      <w:pPr>
        <w:ind w:left="3447" w:hanging="360"/>
      </w:pPr>
    </w:lvl>
    <w:lvl w:ilvl="4">
      <w:start w:val="1"/>
      <w:numFmt w:val="decimal"/>
      <w:lvlText w:val="%1.%2.%3.%4.%5."/>
      <w:lvlJc w:val="left"/>
      <w:pPr>
        <w:ind w:left="4167" w:hanging="360"/>
      </w:pPr>
    </w:lvl>
    <w:lvl w:ilvl="5">
      <w:start w:val="1"/>
      <w:numFmt w:val="decimal"/>
      <w:lvlText w:val="%1.%2.%3.%4.%5.%6."/>
      <w:lvlJc w:val="left"/>
      <w:pPr>
        <w:ind w:left="4887" w:hanging="180"/>
      </w:pPr>
    </w:lvl>
    <w:lvl w:ilvl="6">
      <w:start w:val="1"/>
      <w:numFmt w:val="decimal"/>
      <w:lvlText w:val="%1.%2.%3.%4.%5.%6.%7."/>
      <w:lvlJc w:val="left"/>
      <w:pPr>
        <w:ind w:left="5607" w:hanging="360"/>
      </w:pPr>
    </w:lvl>
    <w:lvl w:ilvl="7">
      <w:start w:val="1"/>
      <w:numFmt w:val="decimal"/>
      <w:lvlText w:val="%1.%2.%3.%4.%5.%6.%7.%8."/>
      <w:lvlJc w:val="left"/>
      <w:pPr>
        <w:ind w:left="6327" w:hanging="360"/>
      </w:pPr>
    </w:lvl>
    <w:lvl w:ilvl="8">
      <w:start w:val="1"/>
      <w:numFmt w:val="decimal"/>
      <w:lvlText w:val="%1.%2.%3.%4.%5.%6.%7.%8.%9."/>
      <w:lvlJc w:val="left"/>
      <w:pPr>
        <w:ind w:left="7047" w:hanging="180"/>
      </w:pPr>
    </w:lvl>
  </w:abstractNum>
  <w:abstractNum w:abstractNumId="3" w15:restartNumberingAfterBreak="0">
    <w:nsid w:val="4BC45F1C"/>
    <w:multiLevelType w:val="multilevel"/>
    <w:tmpl w:val="07547F0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5FB73C53"/>
    <w:multiLevelType w:val="hybridMultilevel"/>
    <w:tmpl w:val="758E2954"/>
    <w:lvl w:ilvl="0" w:tplc="5E66053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6108317B"/>
    <w:multiLevelType w:val="hybridMultilevel"/>
    <w:tmpl w:val="C5746BD6"/>
    <w:lvl w:ilvl="0" w:tplc="FBEC57C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6" w15:restartNumberingAfterBreak="0">
    <w:nsid w:val="73072866"/>
    <w:multiLevelType w:val="hybridMultilevel"/>
    <w:tmpl w:val="7A8E027E"/>
    <w:lvl w:ilvl="0" w:tplc="D4AA01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5"/>
  </w:num>
  <w:num w:numId="4">
    <w:abstractNumId w:val="3"/>
  </w:num>
  <w:num w:numId="5">
    <w:abstractNumId w:val="4"/>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AA2"/>
    <w:rsid w:val="00045E3C"/>
    <w:rsid w:val="00086CB0"/>
    <w:rsid w:val="000B3529"/>
    <w:rsid w:val="000C338F"/>
    <w:rsid w:val="00106CB1"/>
    <w:rsid w:val="00127B76"/>
    <w:rsid w:val="0015094D"/>
    <w:rsid w:val="00150D7F"/>
    <w:rsid w:val="00166242"/>
    <w:rsid w:val="0017633A"/>
    <w:rsid w:val="001A1847"/>
    <w:rsid w:val="001B294C"/>
    <w:rsid w:val="001E20E7"/>
    <w:rsid w:val="0020758B"/>
    <w:rsid w:val="00211323"/>
    <w:rsid w:val="0023631F"/>
    <w:rsid w:val="0024251B"/>
    <w:rsid w:val="00246D69"/>
    <w:rsid w:val="002804C9"/>
    <w:rsid w:val="002B550B"/>
    <w:rsid w:val="002C5FA2"/>
    <w:rsid w:val="002C7C21"/>
    <w:rsid w:val="002F672F"/>
    <w:rsid w:val="002F72AF"/>
    <w:rsid w:val="00347932"/>
    <w:rsid w:val="0035133E"/>
    <w:rsid w:val="003D1FD1"/>
    <w:rsid w:val="003F1A8A"/>
    <w:rsid w:val="0040661A"/>
    <w:rsid w:val="00421500"/>
    <w:rsid w:val="00421784"/>
    <w:rsid w:val="0046191E"/>
    <w:rsid w:val="004918EF"/>
    <w:rsid w:val="00501EE1"/>
    <w:rsid w:val="005145F6"/>
    <w:rsid w:val="00537772"/>
    <w:rsid w:val="00544B9F"/>
    <w:rsid w:val="00555A63"/>
    <w:rsid w:val="00565F30"/>
    <w:rsid w:val="005669B2"/>
    <w:rsid w:val="00567255"/>
    <w:rsid w:val="00575FF9"/>
    <w:rsid w:val="005851EB"/>
    <w:rsid w:val="00596D5A"/>
    <w:rsid w:val="005B0AD8"/>
    <w:rsid w:val="005B1174"/>
    <w:rsid w:val="005C1DCB"/>
    <w:rsid w:val="005C2EB0"/>
    <w:rsid w:val="005D68E6"/>
    <w:rsid w:val="005E50F0"/>
    <w:rsid w:val="0064450E"/>
    <w:rsid w:val="00682A7F"/>
    <w:rsid w:val="006A517D"/>
    <w:rsid w:val="006D618E"/>
    <w:rsid w:val="006F2713"/>
    <w:rsid w:val="00707863"/>
    <w:rsid w:val="00714AA2"/>
    <w:rsid w:val="00797A59"/>
    <w:rsid w:val="007B3382"/>
    <w:rsid w:val="007E7B17"/>
    <w:rsid w:val="00805961"/>
    <w:rsid w:val="00807DC7"/>
    <w:rsid w:val="008267E4"/>
    <w:rsid w:val="00841660"/>
    <w:rsid w:val="0084485F"/>
    <w:rsid w:val="008801AE"/>
    <w:rsid w:val="00890B83"/>
    <w:rsid w:val="008D0064"/>
    <w:rsid w:val="008D746A"/>
    <w:rsid w:val="008E00CE"/>
    <w:rsid w:val="008F7351"/>
    <w:rsid w:val="00905B0F"/>
    <w:rsid w:val="00951030"/>
    <w:rsid w:val="00965814"/>
    <w:rsid w:val="009A366B"/>
    <w:rsid w:val="009A6567"/>
    <w:rsid w:val="009B2DAA"/>
    <w:rsid w:val="009B667F"/>
    <w:rsid w:val="009D2227"/>
    <w:rsid w:val="009F7532"/>
    <w:rsid w:val="00A069C8"/>
    <w:rsid w:val="00A176BB"/>
    <w:rsid w:val="00A27C05"/>
    <w:rsid w:val="00A35A79"/>
    <w:rsid w:val="00A7244C"/>
    <w:rsid w:val="00B84085"/>
    <w:rsid w:val="00B847AD"/>
    <w:rsid w:val="00B95FE5"/>
    <w:rsid w:val="00BD0100"/>
    <w:rsid w:val="00BD19A7"/>
    <w:rsid w:val="00BD6134"/>
    <w:rsid w:val="00C22C09"/>
    <w:rsid w:val="00C4600A"/>
    <w:rsid w:val="00C63CEA"/>
    <w:rsid w:val="00CA16AA"/>
    <w:rsid w:val="00D02AD4"/>
    <w:rsid w:val="00D20B52"/>
    <w:rsid w:val="00D478BD"/>
    <w:rsid w:val="00D679B8"/>
    <w:rsid w:val="00D80227"/>
    <w:rsid w:val="00DF525C"/>
    <w:rsid w:val="00DF6A44"/>
    <w:rsid w:val="00E1785A"/>
    <w:rsid w:val="00E255DC"/>
    <w:rsid w:val="00E4563F"/>
    <w:rsid w:val="00E46D46"/>
    <w:rsid w:val="00EA031C"/>
    <w:rsid w:val="00EC6A6F"/>
    <w:rsid w:val="00EE342D"/>
    <w:rsid w:val="00EF72F7"/>
    <w:rsid w:val="00F52A90"/>
    <w:rsid w:val="00F70F03"/>
    <w:rsid w:val="00FB6812"/>
    <w:rsid w:val="00FE3C37"/>
    <w:rsid w:val="015E00F1"/>
    <w:rsid w:val="03FCA752"/>
    <w:rsid w:val="04575834"/>
    <w:rsid w:val="04FE29B9"/>
    <w:rsid w:val="05A323B2"/>
    <w:rsid w:val="05FB386D"/>
    <w:rsid w:val="06726733"/>
    <w:rsid w:val="06A2FB23"/>
    <w:rsid w:val="0766B3F1"/>
    <w:rsid w:val="0B01CADA"/>
    <w:rsid w:val="0D55B7E6"/>
    <w:rsid w:val="0EE91C18"/>
    <w:rsid w:val="1261E113"/>
    <w:rsid w:val="127EAFA3"/>
    <w:rsid w:val="12981AA9"/>
    <w:rsid w:val="12C65319"/>
    <w:rsid w:val="134F107A"/>
    <w:rsid w:val="144C16EC"/>
    <w:rsid w:val="149055A0"/>
    <w:rsid w:val="15708532"/>
    <w:rsid w:val="175CB9D1"/>
    <w:rsid w:val="17791B30"/>
    <w:rsid w:val="189BE688"/>
    <w:rsid w:val="192549A8"/>
    <w:rsid w:val="1955165D"/>
    <w:rsid w:val="1AD4C5AE"/>
    <w:rsid w:val="1B146398"/>
    <w:rsid w:val="1C467400"/>
    <w:rsid w:val="1D5ADBE4"/>
    <w:rsid w:val="1FF5DF24"/>
    <w:rsid w:val="2034CC5E"/>
    <w:rsid w:val="22AFA44E"/>
    <w:rsid w:val="230F5CFE"/>
    <w:rsid w:val="2365663F"/>
    <w:rsid w:val="237D7736"/>
    <w:rsid w:val="23D7C9C9"/>
    <w:rsid w:val="2539D3DD"/>
    <w:rsid w:val="27054200"/>
    <w:rsid w:val="2720C9C3"/>
    <w:rsid w:val="27975227"/>
    <w:rsid w:val="27A2B824"/>
    <w:rsid w:val="2893F50E"/>
    <w:rsid w:val="29E19E91"/>
    <w:rsid w:val="2A49E00F"/>
    <w:rsid w:val="2A69BF46"/>
    <w:rsid w:val="2C1363E5"/>
    <w:rsid w:val="2C261CBE"/>
    <w:rsid w:val="2C711F51"/>
    <w:rsid w:val="2D4F3704"/>
    <w:rsid w:val="2D8604A5"/>
    <w:rsid w:val="2E3E9DA4"/>
    <w:rsid w:val="2EE66EE3"/>
    <w:rsid w:val="3006E2F6"/>
    <w:rsid w:val="30A19687"/>
    <w:rsid w:val="3220ECE5"/>
    <w:rsid w:val="3260D270"/>
    <w:rsid w:val="32C1B5B7"/>
    <w:rsid w:val="35635B08"/>
    <w:rsid w:val="3609A171"/>
    <w:rsid w:val="38D8C34F"/>
    <w:rsid w:val="38E27817"/>
    <w:rsid w:val="3AF983EA"/>
    <w:rsid w:val="3BBD642E"/>
    <w:rsid w:val="3C0069AB"/>
    <w:rsid w:val="3C0EBF4E"/>
    <w:rsid w:val="3CC34E75"/>
    <w:rsid w:val="3CFD79D0"/>
    <w:rsid w:val="3F61BC35"/>
    <w:rsid w:val="3FE78852"/>
    <w:rsid w:val="40646F38"/>
    <w:rsid w:val="4123F3AF"/>
    <w:rsid w:val="417C4F2F"/>
    <w:rsid w:val="43DCC87D"/>
    <w:rsid w:val="44357251"/>
    <w:rsid w:val="45234130"/>
    <w:rsid w:val="46AC6027"/>
    <w:rsid w:val="46B61688"/>
    <w:rsid w:val="4999EDFC"/>
    <w:rsid w:val="49BD1E83"/>
    <w:rsid w:val="4AEF3391"/>
    <w:rsid w:val="4BD259B4"/>
    <w:rsid w:val="4C549A9F"/>
    <w:rsid w:val="4C9B16DA"/>
    <w:rsid w:val="4CD9BA9E"/>
    <w:rsid w:val="4DA32D1D"/>
    <w:rsid w:val="4EDA1DDD"/>
    <w:rsid w:val="50669593"/>
    <w:rsid w:val="51C5F324"/>
    <w:rsid w:val="525F0D59"/>
    <w:rsid w:val="53331F76"/>
    <w:rsid w:val="53FF9A12"/>
    <w:rsid w:val="54F0C916"/>
    <w:rsid w:val="550BC2DF"/>
    <w:rsid w:val="55184158"/>
    <w:rsid w:val="564308C9"/>
    <w:rsid w:val="56D18AD9"/>
    <w:rsid w:val="5707E3A7"/>
    <w:rsid w:val="582A5AFB"/>
    <w:rsid w:val="5999A998"/>
    <w:rsid w:val="59FFBD5D"/>
    <w:rsid w:val="5A7FBBD7"/>
    <w:rsid w:val="5C45944F"/>
    <w:rsid w:val="5C64718B"/>
    <w:rsid w:val="5D45B2AE"/>
    <w:rsid w:val="5ECBB83F"/>
    <w:rsid w:val="5EF3288A"/>
    <w:rsid w:val="5F636A34"/>
    <w:rsid w:val="6005AB19"/>
    <w:rsid w:val="6031EA84"/>
    <w:rsid w:val="61509C7A"/>
    <w:rsid w:val="61710392"/>
    <w:rsid w:val="620FABB0"/>
    <w:rsid w:val="63628806"/>
    <w:rsid w:val="63CEB573"/>
    <w:rsid w:val="67FC87D0"/>
    <w:rsid w:val="6843023D"/>
    <w:rsid w:val="68ADEC00"/>
    <w:rsid w:val="6986F8FD"/>
    <w:rsid w:val="6C4B4825"/>
    <w:rsid w:val="6D930E38"/>
    <w:rsid w:val="6DAD1E5B"/>
    <w:rsid w:val="6E95413E"/>
    <w:rsid w:val="6EDDE467"/>
    <w:rsid w:val="6FC3CE7B"/>
    <w:rsid w:val="6FEA80F6"/>
    <w:rsid w:val="71C35327"/>
    <w:rsid w:val="71D4941F"/>
    <w:rsid w:val="7208CF9B"/>
    <w:rsid w:val="72E76F84"/>
    <w:rsid w:val="74F6B722"/>
    <w:rsid w:val="7518FFBE"/>
    <w:rsid w:val="75401D4A"/>
    <w:rsid w:val="75AE0E22"/>
    <w:rsid w:val="75CCE3C2"/>
    <w:rsid w:val="76762D9D"/>
    <w:rsid w:val="76F90BB0"/>
    <w:rsid w:val="7796E0DA"/>
    <w:rsid w:val="785DA3BB"/>
    <w:rsid w:val="7878E073"/>
    <w:rsid w:val="798842D7"/>
    <w:rsid w:val="79D36D2D"/>
    <w:rsid w:val="79F5A71A"/>
    <w:rsid w:val="7A9952AD"/>
    <w:rsid w:val="7C1B7980"/>
    <w:rsid w:val="7CE37538"/>
    <w:rsid w:val="7CF82D84"/>
    <w:rsid w:val="7E37F4E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31046E3"/>
  <w15:docId w15:val="{68B0EF19-D1B7-4A58-97AA-E7EF32D4C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AA2"/>
    <w:pPr>
      <w:widowControl w:val="0"/>
      <w:spacing w:after="0" w:line="24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AA2"/>
    <w:pPr>
      <w:tabs>
        <w:tab w:val="center" w:pos="4320"/>
        <w:tab w:val="right" w:pos="8640"/>
      </w:tabs>
    </w:pPr>
  </w:style>
  <w:style w:type="character" w:customStyle="1" w:styleId="HeaderChar">
    <w:name w:val="Header Char"/>
    <w:basedOn w:val="DefaultParagraphFont"/>
    <w:link w:val="Header"/>
    <w:uiPriority w:val="99"/>
    <w:rsid w:val="00714AA2"/>
    <w:rPr>
      <w:rFonts w:ascii="Times New Roman" w:eastAsia="Calibri" w:hAnsi="Times New Roman" w:cs="Times New Roman"/>
      <w:sz w:val="24"/>
    </w:rPr>
  </w:style>
  <w:style w:type="paragraph" w:styleId="Footer">
    <w:name w:val="footer"/>
    <w:basedOn w:val="Normal"/>
    <w:link w:val="FooterChar"/>
    <w:uiPriority w:val="99"/>
    <w:unhideWhenUsed/>
    <w:rsid w:val="00714AA2"/>
    <w:pPr>
      <w:tabs>
        <w:tab w:val="center" w:pos="4320"/>
        <w:tab w:val="right" w:pos="8640"/>
      </w:tabs>
    </w:pPr>
  </w:style>
  <w:style w:type="character" w:customStyle="1" w:styleId="FooterChar">
    <w:name w:val="Footer Char"/>
    <w:basedOn w:val="DefaultParagraphFont"/>
    <w:link w:val="Footer"/>
    <w:uiPriority w:val="99"/>
    <w:rsid w:val="00714AA2"/>
    <w:rPr>
      <w:rFonts w:ascii="Times New Roman" w:eastAsia="Calibri" w:hAnsi="Times New Roman" w:cs="Times New Roman"/>
      <w:sz w:val="24"/>
    </w:rPr>
  </w:style>
  <w:style w:type="paragraph" w:styleId="ListParagraph">
    <w:name w:val="List Paragraph"/>
    <w:basedOn w:val="Normal"/>
    <w:uiPriority w:val="34"/>
    <w:qFormat/>
    <w:rsid w:val="00714AA2"/>
    <w:pPr>
      <w:ind w:left="720"/>
      <w:contextualSpacing/>
    </w:pPr>
  </w:style>
  <w:style w:type="paragraph" w:styleId="NormalWeb">
    <w:name w:val="Normal (Web)"/>
    <w:basedOn w:val="Normal"/>
    <w:uiPriority w:val="99"/>
    <w:rsid w:val="00714AA2"/>
    <w:pPr>
      <w:widowControl/>
      <w:spacing w:before="75" w:after="75"/>
      <w:jc w:val="left"/>
    </w:pPr>
    <w:rPr>
      <w:rFonts w:eastAsia="Times New Roman"/>
      <w:szCs w:val="24"/>
      <w:lang w:eastAsia="lv-LV"/>
    </w:rPr>
  </w:style>
  <w:style w:type="paragraph" w:styleId="NoSpacing">
    <w:name w:val="No Spacing"/>
    <w:uiPriority w:val="1"/>
    <w:qFormat/>
    <w:rsid w:val="00714AA2"/>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714AA2"/>
    <w:rPr>
      <w:sz w:val="20"/>
      <w:szCs w:val="20"/>
    </w:rPr>
  </w:style>
  <w:style w:type="character" w:customStyle="1" w:styleId="FootnoteTextChar">
    <w:name w:val="Footnote Text Char"/>
    <w:basedOn w:val="DefaultParagraphFont"/>
    <w:link w:val="FootnoteText"/>
    <w:uiPriority w:val="99"/>
    <w:semiHidden/>
    <w:rsid w:val="00714AA2"/>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714AA2"/>
    <w:rPr>
      <w:vertAlign w:val="superscript"/>
    </w:rPr>
  </w:style>
  <w:style w:type="character" w:styleId="Hyperlink">
    <w:name w:val="Hyperlink"/>
    <w:basedOn w:val="DefaultParagraphFont"/>
    <w:uiPriority w:val="99"/>
    <w:unhideWhenUsed/>
    <w:rsid w:val="00714AA2"/>
    <w:rPr>
      <w:color w:val="0000FF" w:themeColor="hyperlink"/>
      <w:u w:val="single"/>
    </w:rPr>
  </w:style>
  <w:style w:type="paragraph" w:styleId="BalloonText">
    <w:name w:val="Balloon Text"/>
    <w:basedOn w:val="Normal"/>
    <w:link w:val="BalloonTextChar"/>
    <w:uiPriority w:val="99"/>
    <w:semiHidden/>
    <w:unhideWhenUsed/>
    <w:rsid w:val="00544B9F"/>
    <w:rPr>
      <w:rFonts w:ascii="Tahoma" w:hAnsi="Tahoma" w:cs="Tahoma"/>
      <w:sz w:val="16"/>
      <w:szCs w:val="16"/>
    </w:rPr>
  </w:style>
  <w:style w:type="character" w:customStyle="1" w:styleId="BalloonTextChar">
    <w:name w:val="Balloon Text Char"/>
    <w:basedOn w:val="DefaultParagraphFont"/>
    <w:link w:val="BalloonText"/>
    <w:uiPriority w:val="99"/>
    <w:semiHidden/>
    <w:rsid w:val="00544B9F"/>
    <w:rPr>
      <w:rFonts w:ascii="Tahoma" w:eastAsia="Calibri" w:hAnsi="Tahoma" w:cs="Tahoma"/>
      <w:sz w:val="16"/>
      <w:szCs w:val="16"/>
    </w:rPr>
  </w:style>
  <w:style w:type="paragraph" w:customStyle="1" w:styleId="StyleRight">
    <w:name w:val="Style Right"/>
    <w:basedOn w:val="Normal"/>
    <w:rsid w:val="00807DC7"/>
    <w:pPr>
      <w:widowControl/>
      <w:spacing w:after="120"/>
      <w:ind w:firstLine="720"/>
      <w:jc w:val="right"/>
    </w:pPr>
    <w:rPr>
      <w:rFonts w:eastAsia="Times New Roman"/>
      <w:sz w:val="28"/>
      <w:szCs w:val="28"/>
    </w:rPr>
  </w:style>
  <w:style w:type="paragraph" w:customStyle="1" w:styleId="tv2132">
    <w:name w:val="tv2132"/>
    <w:basedOn w:val="Normal"/>
    <w:rsid w:val="008F7351"/>
    <w:pPr>
      <w:widowControl/>
      <w:spacing w:line="360" w:lineRule="auto"/>
      <w:ind w:firstLine="300"/>
      <w:jc w:val="left"/>
    </w:pPr>
    <w:rPr>
      <w:rFonts w:eastAsia="Times New Roman"/>
      <w:color w:val="414142"/>
      <w:sz w:val="20"/>
      <w:szCs w:val="20"/>
      <w:lang w:eastAsia="lv-LV"/>
    </w:rPr>
  </w:style>
  <w:style w:type="paragraph" w:customStyle="1" w:styleId="labojumupamats1">
    <w:name w:val="labojumu_pamats1"/>
    <w:basedOn w:val="Normal"/>
    <w:rsid w:val="008F7351"/>
    <w:pPr>
      <w:widowControl/>
      <w:spacing w:before="45" w:line="360" w:lineRule="auto"/>
      <w:ind w:firstLine="300"/>
      <w:jc w:val="left"/>
    </w:pPr>
    <w:rPr>
      <w:rFonts w:eastAsia="Times New Roman"/>
      <w:i/>
      <w:iCs/>
      <w:color w:val="414142"/>
      <w:sz w:val="20"/>
      <w:szCs w:val="20"/>
      <w:lang w:eastAsia="lv-LV"/>
    </w:rPr>
  </w:style>
  <w:style w:type="character" w:customStyle="1" w:styleId="UnresolvedMention1">
    <w:name w:val="Unresolved Mention1"/>
    <w:basedOn w:val="DefaultParagraphFont"/>
    <w:uiPriority w:val="99"/>
    <w:semiHidden/>
    <w:unhideWhenUsed/>
    <w:rsid w:val="00086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188914">
      <w:bodyDiv w:val="1"/>
      <w:marLeft w:val="0"/>
      <w:marRight w:val="0"/>
      <w:marTop w:val="0"/>
      <w:marBottom w:val="0"/>
      <w:divBdr>
        <w:top w:val="none" w:sz="0" w:space="0" w:color="auto"/>
        <w:left w:val="none" w:sz="0" w:space="0" w:color="auto"/>
        <w:bottom w:val="none" w:sz="0" w:space="0" w:color="auto"/>
        <w:right w:val="none" w:sz="0" w:space="0" w:color="auto"/>
      </w:divBdr>
    </w:div>
    <w:div w:id="600144469">
      <w:bodyDiv w:val="1"/>
      <w:marLeft w:val="0"/>
      <w:marRight w:val="0"/>
      <w:marTop w:val="0"/>
      <w:marBottom w:val="0"/>
      <w:divBdr>
        <w:top w:val="none" w:sz="0" w:space="0" w:color="auto"/>
        <w:left w:val="none" w:sz="0" w:space="0" w:color="auto"/>
        <w:bottom w:val="none" w:sz="0" w:space="0" w:color="auto"/>
        <w:right w:val="none" w:sz="0" w:space="0" w:color="auto"/>
      </w:divBdr>
    </w:div>
    <w:div w:id="1361083783">
      <w:bodyDiv w:val="1"/>
      <w:marLeft w:val="0"/>
      <w:marRight w:val="0"/>
      <w:marTop w:val="0"/>
      <w:marBottom w:val="0"/>
      <w:divBdr>
        <w:top w:val="none" w:sz="0" w:space="0" w:color="auto"/>
        <w:left w:val="none" w:sz="0" w:space="0" w:color="auto"/>
        <w:bottom w:val="none" w:sz="0" w:space="0" w:color="auto"/>
        <w:right w:val="none" w:sz="0" w:space="0" w:color="auto"/>
      </w:divBdr>
    </w:div>
    <w:div w:id="1648432728">
      <w:bodyDiv w:val="1"/>
      <w:marLeft w:val="0"/>
      <w:marRight w:val="0"/>
      <w:marTop w:val="0"/>
      <w:marBottom w:val="0"/>
      <w:divBdr>
        <w:top w:val="none" w:sz="0" w:space="0" w:color="auto"/>
        <w:left w:val="none" w:sz="0" w:space="0" w:color="auto"/>
        <w:bottom w:val="none" w:sz="0" w:space="0" w:color="auto"/>
        <w:right w:val="none" w:sz="0" w:space="0" w:color="auto"/>
      </w:divBdr>
      <w:divsChild>
        <w:div w:id="1907261258">
          <w:marLeft w:val="0"/>
          <w:marRight w:val="0"/>
          <w:marTop w:val="0"/>
          <w:marBottom w:val="0"/>
          <w:divBdr>
            <w:top w:val="none" w:sz="0" w:space="0" w:color="auto"/>
            <w:left w:val="none" w:sz="0" w:space="0" w:color="auto"/>
            <w:bottom w:val="none" w:sz="0" w:space="0" w:color="auto"/>
            <w:right w:val="none" w:sz="0" w:space="0" w:color="auto"/>
          </w:divBdr>
          <w:divsChild>
            <w:div w:id="746077798">
              <w:marLeft w:val="0"/>
              <w:marRight w:val="0"/>
              <w:marTop w:val="0"/>
              <w:marBottom w:val="0"/>
              <w:divBdr>
                <w:top w:val="none" w:sz="0" w:space="0" w:color="auto"/>
                <w:left w:val="none" w:sz="0" w:space="0" w:color="auto"/>
                <w:bottom w:val="none" w:sz="0" w:space="0" w:color="auto"/>
                <w:right w:val="none" w:sz="0" w:space="0" w:color="auto"/>
              </w:divBdr>
              <w:divsChild>
                <w:div w:id="416634914">
                  <w:marLeft w:val="0"/>
                  <w:marRight w:val="0"/>
                  <w:marTop w:val="0"/>
                  <w:marBottom w:val="0"/>
                  <w:divBdr>
                    <w:top w:val="none" w:sz="0" w:space="0" w:color="auto"/>
                    <w:left w:val="none" w:sz="0" w:space="0" w:color="auto"/>
                    <w:bottom w:val="none" w:sz="0" w:space="0" w:color="auto"/>
                    <w:right w:val="none" w:sz="0" w:space="0" w:color="auto"/>
                  </w:divBdr>
                  <w:divsChild>
                    <w:div w:id="98374131">
                      <w:marLeft w:val="0"/>
                      <w:marRight w:val="0"/>
                      <w:marTop w:val="0"/>
                      <w:marBottom w:val="0"/>
                      <w:divBdr>
                        <w:top w:val="none" w:sz="0" w:space="0" w:color="auto"/>
                        <w:left w:val="none" w:sz="0" w:space="0" w:color="auto"/>
                        <w:bottom w:val="none" w:sz="0" w:space="0" w:color="auto"/>
                        <w:right w:val="none" w:sz="0" w:space="0" w:color="auto"/>
                      </w:divBdr>
                      <w:divsChild>
                        <w:div w:id="158157517">
                          <w:marLeft w:val="0"/>
                          <w:marRight w:val="0"/>
                          <w:marTop w:val="0"/>
                          <w:marBottom w:val="0"/>
                          <w:divBdr>
                            <w:top w:val="none" w:sz="0" w:space="0" w:color="auto"/>
                            <w:left w:val="none" w:sz="0" w:space="0" w:color="auto"/>
                            <w:bottom w:val="none" w:sz="0" w:space="0" w:color="auto"/>
                            <w:right w:val="none" w:sz="0" w:space="0" w:color="auto"/>
                          </w:divBdr>
                          <w:divsChild>
                            <w:div w:id="1586527975">
                              <w:marLeft w:val="0"/>
                              <w:marRight w:val="0"/>
                              <w:marTop w:val="0"/>
                              <w:marBottom w:val="0"/>
                              <w:divBdr>
                                <w:top w:val="none" w:sz="0" w:space="0" w:color="auto"/>
                                <w:left w:val="none" w:sz="0" w:space="0" w:color="auto"/>
                                <w:bottom w:val="none" w:sz="0" w:space="0" w:color="auto"/>
                                <w:right w:val="none" w:sz="0" w:space="0" w:color="auto"/>
                              </w:divBdr>
                              <w:divsChild>
                                <w:div w:id="1782260410">
                                  <w:marLeft w:val="0"/>
                                  <w:marRight w:val="0"/>
                                  <w:marTop w:val="0"/>
                                  <w:marBottom w:val="0"/>
                                  <w:divBdr>
                                    <w:top w:val="none" w:sz="0" w:space="0" w:color="auto"/>
                                    <w:left w:val="none" w:sz="0" w:space="0" w:color="auto"/>
                                    <w:bottom w:val="none" w:sz="0" w:space="0" w:color="auto"/>
                                    <w:right w:val="none" w:sz="0" w:space="0" w:color="auto"/>
                                  </w:divBdr>
                                </w:div>
                              </w:divsChild>
                            </w:div>
                            <w:div w:id="60103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3973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da.upite@tm.gov.l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arta.purina@tm.gov.lv"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dis.vilcins@tm.gov.lv"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13702</Words>
  <Characters>7811</Characters>
  <Application>Microsoft Office Word</Application>
  <DocSecurity>0</DocSecurity>
  <Lines>65</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Atzinums par grozījumiem likumā "Par zemes privatizāciju lauku apvidos"</vt:lpstr>
      <vt:lpstr>Par ...</vt:lpstr>
    </vt:vector>
  </TitlesOfParts>
  <Company>Tieslietu ministrija</Company>
  <LinksUpToDate>false</LinksUpToDate>
  <CharactersWithSpaces>21471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Atzinums par grozījumiem likumā "Par zemes privatizāciju lauku apvidos"</dc:title>
  <dc:subject>Atzinums</dc:subject>
  <dc:creator>Vārds Uzvārds</dc:creator>
  <dc:description>67036819, arta.purina@tm.gov.lv</dc:description>
  <cp:lastModifiedBy>Egita Šķibele</cp:lastModifiedBy>
  <cp:revision>2</cp:revision>
  <cp:lastPrinted>2017-03-20T07:56:00Z</cp:lastPrinted>
  <dcterms:created xsi:type="dcterms:W3CDTF">2021-08-16T07:00:00Z</dcterms:created>
  <dcterms:modified xsi:type="dcterms:W3CDTF">2021-08-16T07:00:00Z</dcterms:modified>
</cp:coreProperties>
</file>