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7. jūnija noteikumos Nr. 348 "Spiedieniekārtu un to kompleksu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1 </w:t>
            </w:r>
            <w:r w:rsidR="00000000" w:rsidRPr="00000000" w:rsidDel="00000000">
              <w:rPr>
                <w:rtl w:val="0"/>
              </w:rPr>
              <w:t xml:space="preserve">Paziņotā institūcija prioritārā kārtā izskata pieteikumus par tādu spiedieniekārtu un to kompleksu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396.</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spiedieniekārtām un to kompleksiem, kas atzītas par krīzē būtisku preci un par kurām tām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projektu, ņemot vērā, ka atbilstoši juridiskās tehnikas prasībām tiesību normai ir jābūt skaidrai un nepārprotamai, lai tās lietotāji un piemērotāji precīzi izprastu normu būtību. Skaidrojam, ka tādi formulējumi kā "</w:t>
            </w:r>
            <w:r w:rsidR="00000000" w:rsidRPr="00000000" w:rsidDel="00000000">
              <w:rPr>
                <w:i w:val="1"/>
                <w:rtl w:val="0"/>
              </w:rPr>
              <w:t xml:space="preserve">nesamērīgas papildus izmaksas</w:t>
            </w:r>
            <w:r w:rsidR="00000000" w:rsidRPr="00000000" w:rsidDel="00000000">
              <w:rPr>
                <w:rtl w:val="0"/>
              </w:rPr>
              <w:t xml:space="preserve">", "</w:t>
            </w:r>
            <w:r w:rsidR="00000000" w:rsidRPr="00000000" w:rsidDel="00000000">
              <w:rPr>
                <w:i w:val="1"/>
                <w:u w:val="single"/>
                <w:rtl w:val="0"/>
              </w:rPr>
              <w:t xml:space="preserve">cenšas</w:t>
            </w:r>
            <w:r w:rsidR="00000000" w:rsidRPr="00000000" w:rsidDel="00000000">
              <w:rPr>
                <w:rtl w:val="0"/>
              </w:rPr>
              <w:t xml:space="preserve"> </w:t>
            </w:r>
            <w:r w:rsidR="00000000" w:rsidRPr="00000000" w:rsidDel="00000000">
              <w:rPr>
                <w:i w:val="1"/>
                <w:rtl w:val="0"/>
              </w:rPr>
              <w:t xml:space="preserve">palielināt savas testēšanas iespēja</w:t>
            </w:r>
            <w:r w:rsidR="00000000" w:rsidRPr="00000000" w:rsidDel="00000000">
              <w:rPr>
                <w:rtl w:val="0"/>
              </w:rPr>
              <w:t xml:space="preserve">s" vai "</w:t>
            </w:r>
            <w:r w:rsidR="00000000" w:rsidRPr="00000000" w:rsidDel="00000000">
              <w:rPr>
                <w:i w:val="1"/>
                <w:rtl w:val="0"/>
              </w:rPr>
              <w:t xml:space="preserve">pietiekams iemesls</w:t>
            </w:r>
            <w:r w:rsidR="00000000" w:rsidRPr="00000000" w:rsidDel="00000000">
              <w:rPr>
                <w:rtl w:val="0"/>
              </w:rPr>
              <w:t xml:space="preserve">" nenodrošina tiesību normu adresātiem tiešu un konkrētu projekta izpratni. Alternatīvi iesakām sniegt izvērstus skaidrojumus anotācijā, tajā skaitā skaidrojot arī kādos gadījumos attiecināms projektā lietotais termins “krīzes gadījums”.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 spiedieniekārtu un to kompleksu, kam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3. 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10. panta 2. punkta (Eiropas Parlamenta un Padomes 2014. gada 15. maija Direktīvas 2014/68/ES par dalībvalstu tiesību aktu saskaņošanu attiecībā uz spiedieniekārtu pieejamību tirgū (turpmāk - Direktīva 2014/68) 43.c panta) pārņemšanu.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3. punkts (grozīto noteikumu (turpmāk - Noteikumi) 396.</w:t>
            </w:r>
            <w:r w:rsidR="00000000" w:rsidRPr="00000000" w:rsidDel="00000000">
              <w:rPr>
                <w:vertAlign w:val="superscript"/>
                <w:rtl w:val="0"/>
              </w:rPr>
              <w:t xml:space="preserve">7</w:t>
            </w:r>
            <w:r w:rsidR="00000000" w:rsidRPr="00000000" w:rsidDel="00000000">
              <w:rPr>
                <w:rtl w:val="0"/>
              </w:rPr>
              <w:t xml:space="preserve"> punkts) nosaka, ka informācija ir valsts valodā, tā ir skaidra un saprotama, bet ne to, kas saprotams ar norādāmo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norādot uz pilnīgu Eiropas Savienības tiesību normas pārņemšanu, tas tā arī jānodrošina un nepieciešamības gadījumā jāsniedz papildus skaidrojumi pilnīgai izpratnei.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Direktīvas 2024/2749 10. panta 2. punktā (Direktīvas 2014/68 43.c pants 1. punkts) paredz, ka "</w:t>
            </w:r>
            <w:r w:rsidR="00000000" w:rsidRPr="00000000" w:rsidDel="00000000">
              <w:rPr>
                <w:i w:val="1"/>
                <w:rtl w:val="0"/>
              </w:rPr>
              <w:t xml:space="preserve">var atļaut laist tirgū vai izmantot</w:t>
            </w:r>
            <w:r w:rsidR="00000000" w:rsidRPr="00000000" w:rsidDel="00000000">
              <w:rPr>
                <w:rtl w:val="0"/>
              </w:rPr>
              <w:t xml:space="preserve">", bet projekta 3. punkts (Noteikumu 396.</w:t>
            </w:r>
            <w:r w:rsidR="00000000" w:rsidRPr="00000000" w:rsidDel="00000000">
              <w:rPr>
                <w:vertAlign w:val="superscript"/>
                <w:rtl w:val="0"/>
              </w:rPr>
              <w:t xml:space="preserve">4 </w:t>
            </w:r>
            <w:r w:rsidR="00000000" w:rsidRPr="00000000" w:rsidDel="00000000">
              <w:rPr>
                <w:rtl w:val="0"/>
              </w:rPr>
              <w:t xml:space="preserve">punkts) nosaka, ka var izsniegt atļauju tikai laišanai tirgū. Direktīvas 2024/2749 10. panta 2. punktā (Direktīvas 2014/68 43.c panta 2. punkta 2. daļa) līdz ar laišanu tirgū noteikta arī izmantošana "</w:t>
            </w:r>
            <w:r w:rsidR="00000000" w:rsidRPr="00000000" w:rsidDel="00000000">
              <w:rPr>
                <w:i w:val="1"/>
                <w:rtl w:val="0"/>
              </w:rPr>
              <w:t xml:space="preserve">ražotāja paša vajadzībām</w:t>
            </w:r>
            <w:r w:rsidR="00000000" w:rsidRPr="00000000" w:rsidDel="00000000">
              <w:rPr>
                <w:rtl w:val="0"/>
              </w:rPr>
              <w:t xml:space="preserve">", kā arī tas, ka ne tikai informācijai, bet arī marķējumam jābūt skaidram, saprotamam un viegli uztveramam;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Direktīvas 2024/2749 10. panta 2. punkts (Direktīvas 2010/43 33.c pants 7. punkts) nosaka arī to, ka attiecībā uz spiedieniekārtām vai to kompleksiem netiek piemērots Direktīvas 2010/43 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Direktīvas 2024/2749 10. panta 2. punkts (Direktīvas 2014/68 43.c pants 5. punkts) nosaka, ka spiedieniekārtu un to kompleksu ražotāji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 Vienlaikus nepieciešams precīzāk norādīt  vai skaidrot anotācijā, kā spiedieniekārtu un to kompleksu ražotāji apliecina projekta 3. punktā (Noteikumu 396.</w:t>
            </w:r>
            <w:r w:rsidR="00000000" w:rsidRPr="00000000" w:rsidDel="00000000">
              <w:rPr>
                <w:vertAlign w:val="superscript"/>
                <w:rtl w:val="0"/>
              </w:rPr>
              <w:t xml:space="preserve">8 </w:t>
            </w:r>
            <w:r w:rsidR="00000000" w:rsidRPr="00000000" w:rsidDel="00000000">
              <w:rPr>
                <w:rtl w:val="0"/>
              </w:rPr>
              <w:t xml:space="preserve">punkts)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Direktīvas 2024/2749 10. panta 2. punkts (Direktīvas 2014/68 43.c pants 8. punkts) nosaka, ka tirgus uzraudzības iestādei ir tiesības veikt korektīvās un ierobežojošās darbības, </w:t>
            </w:r>
            <w:r w:rsidR="00000000" w:rsidRPr="00000000" w:rsidDel="00000000">
              <w:rPr>
                <w:u w:val="single"/>
                <w:rtl w:val="0"/>
              </w:rPr>
              <w:t xml:space="preserve">ja tirgus uzraudzības iestādes izdotā atļauja ir derīga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1 </w:t>
            </w:r>
            <w:r w:rsidR="00000000" w:rsidRPr="00000000" w:rsidDel="00000000">
              <w:rPr>
                <w:rtl w:val="0"/>
              </w:rPr>
              <w:t xml:space="preserve">Paziņotā institūcija prioritārā kārtā izskata pieteikumus par tādu spiedieniekārtu un to kompleksu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396.</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spiedieniekārtām un to kompleksiem, kas atzītas par krīzē būtisku preci un par kurām tām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tiesiskās noteiktības nolūkā pārskatīt un papildināt projekta 2. punktu, nodrošinot Direktīvas 2024/2749 pienācīgu pārņemšanu. Vēršam uzmanību, ka atbilstoši projekta 2. punktā pārņemtajam Direktīvas 2024/2749 10. panta 2. apakšpunktam (Direktīvas 2014/68 43.b panta 2. punkts) jāievēro nosacījums, ka paziņotā institūcija izskata visus pieteikumus "</w:t>
            </w:r>
            <w:r w:rsidR="00000000" w:rsidRPr="00000000" w:rsidDel="00000000">
              <w:rPr>
                <w:i w:val="1"/>
                <w:rtl w:val="0"/>
              </w:rPr>
              <w:t xml:space="preserve">neatkarīgi no tā, vai minētie pieteikumi iesniegti pirms vai pēc ārkārtas situācijas procedūru aktivizēšanas, ievērojot 43.a pantu</w:t>
            </w:r>
            <w:r w:rsidR="00000000" w:rsidRPr="00000000" w:rsidDel="00000000">
              <w:rPr>
                <w:rtl w:val="0"/>
              </w:rPr>
              <w:t xml:space="preserve">", kas no projekta tieši neizriet.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 spiedieniekārtu un to kompleksu, kam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3. punktā (Noteikumu 398.</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6 </w:t>
            </w:r>
            <w:r w:rsidR="00000000" w:rsidRPr="00000000" w:rsidDel="00000000">
              <w:rPr>
                <w:rtl w:val="0"/>
              </w:rPr>
              <w:t xml:space="preserve">panta pirmajā daļā ietverto regulējumu un svītrot minēto Noteikumu vienību vai sniegt pamatotu skaidrojumu par attiecīgās Noteikumu normas atbilstību minētā likuma 7. pantā ietvertajam pilnvarojumam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 spiedieniekārtu un to kompleksu, kam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spiedieniekārtām un to kompleksiem,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13</w:t>
            </w:r>
            <w:r w:rsidR="00000000" w:rsidRPr="00000000" w:rsidDel="00000000">
              <w:rPr>
                <w:rtl w:val="0"/>
              </w:rPr>
              <w:t xml:space="preserve"> Spiedieniekārtas un to kompleksi, kuras ar Eiropas Savienības tieši piemērojamiem tiesību aktiem atzītas par krīzē būtiskām precēm, uzskaitot piemērojamos standartus vai nosakot kopējas specifikācijas spiedieniekārtām un to kompleksiem,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14</w:t>
            </w:r>
            <w:r w:rsidR="00000000" w:rsidRPr="00000000" w:rsidDel="00000000">
              <w:rPr>
                <w:rtl w:val="0"/>
              </w:rPr>
              <w:t xml:space="preserve"> Ja vien nav pietiekama iemesla uzskatīt, ka spiedieniekārtas un to kompleksi, uz kurām attiecas standarti vai kopējās specifikācijas, kas minētas 396.</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spiedieniekārtās un to kompleksi,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spiedieniekārtām un to kompleksiem, kuras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precīzas tiesību normu redakcijas vai to izvērstu izpratni. Vēršam uzmanību, ka projekta 4. punkta (Noteikumu 396.</w:t>
            </w:r>
            <w:r w:rsidR="00000000" w:rsidRPr="00000000" w:rsidDel="00000000">
              <w:rPr>
                <w:vertAlign w:val="superscript"/>
                <w:rtl w:val="0"/>
              </w:rPr>
              <w:t xml:space="preserve">13 </w:t>
            </w:r>
            <w:r w:rsidR="00000000" w:rsidRPr="00000000" w:rsidDel="00000000">
              <w:rPr>
                <w:rtl w:val="0"/>
              </w:rPr>
              <w:t xml:space="preserve">punkts) norāde "Eiropas Komisijas īstenošanas aktos norādītie standarti vai kopējās specifikācijas" nenodrošina izpratni, kādi Eiropas Komisijas īstenošanas aktu ar to saprotami, turklāt ar īstenošanas aktiem var tikt saprastas arī direktīvas un dalībvalstīm adresēti lēmumi. Attiecīgi lūdzam atsauces uz Eiropas Savienības tiesību aktiem noformēt konkrēti un atbilstoši Ministru kabineta 2009. gada 3. februāra noteikumu Nr. 108 "Normatīvo aktu projektu sagatavošanas noteikumi"  (turpmāk - Noteikumi Nr.108) 4. nodaļai vai atsaukties uz tieši piemērojamiem Eiropas Savienības normatīvajiem aktiem, anotācijā tos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Noteikumos lietot konsekventu terminoloģiju, piemēram, attiecībā uz terminiem "būtiskas drošuma prasības" un "būtiskas drošuma pamatprasības".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nolūkā nodrošināt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2024/2749 10. panta 2. apakšpunkts (Direktīvas 2014/68 43.b pants) nesatur Komisijai adresētas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Direktīvu 2024/2749 tiek grozīta Direktīva 2014/68, attiecīgi nepieciešams precīzi atsaukties uz Eiropas Savienības tiesību normām, proti, iekavās norādīt korespondējošo tiesību normu, piemēram, šādi: 10. panta 2. apakšpunkts (Direktīvas 2014/68 43.b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2024/2749 10. panta 2. punkts (Direktīvas 2014/68 43.d pants 7. punkts) pretēji anotācijas 5.4. apakšsadaļas 1. tabulā skaidrotajam attiecas ne tikai uz Komisiju, bet arī paredz pienākumu dalībvalstij informēt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projekta redakcijai tā 5. un 6. punkts pārņem arī Direktīvas2024/2749 11. panta 2. punktu, bet 3. punkts (Noteikumu 396.</w:t>
            </w:r>
            <w:r w:rsidR="00000000" w:rsidRPr="00000000" w:rsidDel="00000000">
              <w:rPr>
                <w:vertAlign w:val="superscript"/>
                <w:rtl w:val="0"/>
              </w:rPr>
              <w:t xml:space="preserve">6 </w:t>
            </w:r>
            <w:r w:rsidR="00000000" w:rsidRPr="00000000" w:rsidDel="00000000">
              <w:rPr>
                <w:rtl w:val="0"/>
              </w:rPr>
              <w:t xml:space="preserve">punkts) Direktīvas 2024/2749 10. panta 2. apakšpunktu (Direktīvas 2014/68 43.c panta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nepieciešams skaidrot, kā tiks nodrošināta Direktīvas 2024/2749 prasību pārņemšana pilnībā, jo projekts pārņem tikai tās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26-TA-331</w:t>
    </w:r>
    <w:r>
      <w:br/>
    </w:r>
    <w:r w:rsidR="00000000" w:rsidRPr="00000000" w:rsidDel="00000000">
      <w:rPr>
        <w:rtl w:val="0"/>
      </w:rPr>
      <w:t xml:space="preserve">Izdrukāts 30.03.2026.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26-TA-331</w:t>
    </w:r>
    <w:r>
      <w:br/>
    </w:r>
    <w:r w:rsidR="00000000" w:rsidRPr="00000000" w:rsidDel="00000000">
      <w:rPr>
        <w:rtl w:val="0"/>
      </w:rPr>
      <w:t xml:space="preserve">Izdrukāts 30.03.2026.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Atzinumi_26-TA-331.docx</dc:title>
</cp:coreProperties>
</file>

<file path=docProps/custom.xml><?xml version="1.0" encoding="utf-8"?>
<Properties xmlns="http://schemas.openxmlformats.org/officeDocument/2006/custom-properties" xmlns:vt="http://schemas.openxmlformats.org/officeDocument/2006/docPropsVTypes"/>
</file>