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Noziedzīgi iegūtu līdzekļu legalizācijas un terorisma un proliferācijas finansēšanas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7. punktu ar "n"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kriptoaktīvu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apakšpunkts atkārtojas divas reizes, ierosinām lieko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Laimonis Rozenbaums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Papildus Krimināllikumā noteiktajam par noziedzīgi iegūtiem līdzekļiem uzskatāmi līdzekļi, kas izmantoti vai paredzēti izmantot noziegumu, kas saistīti ar terorismu, izdarīšanai.";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Papildus Krimināllikumā noteiktajam par noziedzīgi iegūtiem līdzekļiem uzskatāmi līdzekļi, kas izmantoti vai kurus paredzēts izmantot noziegumu, kas saistīti ar terorismu, izdarīšanai.";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Laimonis Rozenbaums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kārtību, kādā, ievērojot kredītiestādes vai finanšu iestādes risku profilu, tiek pārbaudīta to darbinieku, kuri ir tieši iesaistīti noziedzīgi iegūtu līdzekļu legalizācijas un terorisma un proliferācijas finansēšanas risku pārvaldībā, piemērotība (atbilstība) veicamajiem darba pienākumiem vai amatam;";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"risku" aizstāt ar vārdu "riska".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līdzīgu precizējumu arī Noziedzīgi iegūtu līdzekļu legalizācijas un terorisma un proliferācijas finansēšanas novēršanas likuma 11.</w:t>
            </w:r>
            <w:r w:rsidR="00000000" w:rsidRPr="00000000" w:rsidDel="00000000">
              <w:rPr>
                <w:vertAlign w:val="superscript"/>
                <w:rtl w:val="0"/>
              </w:rPr>
              <w:t xml:space="preserve">1 </w:t>
            </w:r>
            <w:r w:rsidR="00000000" w:rsidRPr="00000000" w:rsidDel="00000000">
              <w:rPr>
                <w:rtl w:val="0"/>
              </w:rPr>
              <w:t xml:space="preserve">panta pirmās daļas 4. punktā - vārdu “risku” aizstāt ar vārdu “riska”.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kārtību, kādā, ievērojot kredītiestādes vai finanšu iestādes riska profilu, tiek pārbaudīta to darbinieku, kuri ir tieši iesaistīti noziedzīgi iegūtu līdzekļu legalizācijas un terorisma un proliferācijas finansēšanas risku pārvaldībā, piemērotība (atbilstība) veicamajiem darba pienākumiem vai amatam;";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Laimonis Rozenbaums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aizstājot vārdu "alternatīva" ar vārdu "alternatīvo".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2023. gada 29. jūnijā spēkā stājās Regula Nr. 2023/1114, kuras subjektu tvērumā iekļaujas fiziskas un juridiskas personas, kas ir iesaistītas kriptoaktīvu emitēšanā, publiskā piedāvāšanā un pielaidē tirdzniecībai vai sniedz kriptoaktīvu pakalpojumus Eiropas Savienībā, kas ietver arī tādas finanšu vienības kā kredītiestāde, centrālais vērtspapīru depozitārijs, ieguldījumu brokeru sabiedrība, elektroniskās naudas iestāde, pārvedamu vērtspapīru kolektīvo ieguldījumu uzņēmumu pārvaldības sabiedrība, alternatīvo ieguldījumu fonda pārvaldnieks un tirgus operators.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Laimonis Rozenbaums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problēmas risinājuma aprakstu ar veiktajiem grozījumiem Novēršanas likuma 3. panta pirmajā daļā (likumprojekta 2. pants - "Izslēgt 3. panta pirmās daļas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Laimonis Rozenbaums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"novēršanas".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Pārbaužu pasākumi (tvērums un dziļums) būs atkarīgs no kredītiestādei vai finanšu iestādei piemītošajiem noziedzīgi iegūtu līdzekļu legalizācijas un terorisma un proliferācijas finansēšanas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Laimonis Rozenbaums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23-TA-3261</w:t>
    </w:r>
    <w:r>
      <w:br/>
    </w:r>
    <w:r w:rsidR="00000000" w:rsidRPr="00000000" w:rsidDel="00000000">
      <w:rPr>
        <w:rtl w:val="0"/>
      </w:rPr>
      <w:t xml:space="preserve">Izdrukāts 12.04.2024.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23-TA-3261</w:t>
    </w:r>
    <w:r>
      <w:br/>
    </w:r>
    <w:r w:rsidR="00000000" w:rsidRPr="00000000" w:rsidDel="00000000">
      <w:rPr>
        <w:rtl w:val="0"/>
      </w:rPr>
      <w:t xml:space="preserve">Izdrukāts 12.04.2024.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Atzinumi_23-TA-3261.docx</dc:title>
</cp:coreProperties>
</file>

<file path=docProps/custom.xml><?xml version="1.0" encoding="utf-8"?>
<Properties xmlns="http://schemas.openxmlformats.org/officeDocument/2006/custom-properties" xmlns:vt="http://schemas.openxmlformats.org/officeDocument/2006/docPropsVTypes"/>
</file>