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(pie lietderības apraksta) ar izmērāmiem rādītājiem, kādi būs ieguvumi no neizmantotā finansējuma investēšanas 2. uzsaukumā.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25.6.4. otrās kārtas ietvaros konsultāciju saņemšana par digitālās transformācijas un inovāciju ieviešanas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25.6.4. apakšpunktā noteikto jauno atbalstāmo darbību - konsultāciju saņemšana par digitālās transformācijas un inovāciju ieviešanas jautājumiem. Lūdzam skaidrot detalizētāk, kas praktiski ir domāts ar digitālās transformācijas un inovāciju ieviešanas jautājumiem, t.sk., vai tiek nodrošināta demarkācija ar citiem Eiropas Savienības kohēzijas politikas programmas 2021.–2027.gadam un Latvijas Atveseļošanas un noturības mehānisma plāna pasākumiem/investīcijām, kas paredz atbalstu komersantiem digitālās transformācijas un inovāciju ieviešanas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Publiskos iepirkumus sadarbības tīkls veic saskaņā ar normatīvajiem aktiem publisko iepirkumu jomā, īstenojot atklātu, pārredzamu, nediskriminējošu un konkurenci nodrošinošu procedūru. Projekta ietvaros ir atbalstāma vides prasību un inovatīva risinājuma integrēšana preču un pakalpojumu iepirkumos.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piemērojamā iepirkumu regulējuma izvēle ir atkarīga no tā, vai finansējuma saņēmējs kvalificējas kā pasūtītājs Publisko iepirkumu likuma izpratnē, aicinām precizēt MK noteikumu 51.punktu, vienlaikus to salāgojot ar MK noteikumu 76.punktu, papildinot ar iespēju piemērot  Ministru kabineta 2017. gada 28. februāra noteikumus Nr. 104.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Iepirkumus sadarbības tīkls veic, piemērojot atbilstošos normatīvos aktus publisko iepirkumu jomā, tai skaitā Publisko iepirkumu likumu vai Ministru kabineta 2017. gada 28. februāra noteikumus Nr. 104 “Noteikumi par iepirkuma procedūru un tās piemērošanas kārtību pasūtītāja finansētiem projektiem”, nodrošinot atklātu, pārredzamu, nediskriminējošu un konkurenci veicinošu iepirkuma procedūru. Projekta ietvaros ir atbalstāma vides prasību un inovatīvu risinājumu integrēšana preču un pakalpojumu iepirkumos.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Datums, kad sadarbības iestāde pieņēmusi lēmumu par komercdarbības atbalsta piešķiršanu sadarbības tīklam, un datums, kad sadarbības tīkls pieņēmis lēmumu par komercdarbības atbalsta piešķiršanu sadarbības tīkla dalībniekiem, uzskatāms par komercdarbības atbalsta piešķiršanas datumu. Sadarbības tīklam, ja projekta iesniedzējs ir biedrība vai nodibinājums, un sadarbības tīkla dalībniekam izmaksas ir attiecināmas no dienas, kad sadarbības iestāde pieņēmusi lēmumu par komercdarbības atbalsta piešķiršanu sadarbības tīklam. Otrajā uzsaukumā sadarbības tīklam, ja projekta iesniedzējs ir inovācijas kopa, izmaksas ir attiecināmas no 2026. gada 1. jūlija, ja ir noslēgts līgums ar Eiropas Komisiju par finansējuma piešķiršanu vai saņemts Eiropas Komisijas dokuments par projekta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35.3. apakšpunkts un 58. punkts nosaka dažādus izmaksu attiecināmības sākuma momentus attiecībā uz sadarbības tīklu (biedrībām/nodibinājumiem):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apakšpunkts pēc būtības paredz, ka izmaksas var būt attiecināmas no projekta iesniegšanas brīža (izslēdzot pirms tam radušās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58. punkts nosaka, ka izmaksas ir attiecināmas tikai no dienas, kad pieņemts lēmums par komercdarbības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rodas pretruna un tiesiskās nenoteiktības risks par izmaksu attiecināmības perioda 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vienam sadarbības tīklam vēl nav piešķirs komercdarbības atbalsts, līdz ar to, lai nerastos interpretācijas iespējas, lūdzam Noteikumu 58. punktu izteikt zemāk piedāvātajā redakcijā. Attiecīgi lūdzam precizēt arī Anotācijā norādīto.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Datums, kad sadarbības iestāde pieņēmusi lēmumu par komercdarbības atbalsta piešķiršanu sadarbības tīklam, un datums, kad sadarbības tīkls pieņēmis lēmumu par komercdarbības atbalsta piešķiršanu sadarbības tīkla dalībniekiem, uzskatāms par komercdarbības atbalsta piešķiršanas datumu. Sadarbības tīkla dalībniekam izmaksas ir attiecināmas no dienas, kad sadarbības iestāde pieņēmusi lēmumu par projekta iesnieguma apstiprināšanu. Otrajā uzsaukumā sadarbības tīklam, ja projekta iesniedzējs ir inovācijas kopa, izmaksas ir attiecināmas no 2026. gada 1. jūlija, ja ir noslēgts līgums ar Eiropas Komisiju par finansējuma piešķiršanu vai saņemts Eiropas Komisijas dokuments par projekta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Zīlītis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Inovācijas kopai, saskaņā ar Komisijas regulu Nr. 651/2014 saņemto komercdarbības atbalstu drīkst kumulēt ar programmas "Digitālā Eiropa" ietvaros sniegto atbalstu un ar citu valsts atbalstu, tai skaitā par vienām un tām pašām attiecināmajām izmaksām, vai citu valsts atbalstu tam pašam riska finansējuma pasākumam, ja pēc atbalstu apvienošanas atbalsta vienībai vai izmaksu pozīcijai attiecīgā maksimālā atbalsta intensitāte nepārsniedz 100 %: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komercdarbības atbalsta gadījumā, kad atbalstu piešķir ar Komisijas regulu Nr. 651/2014, lūdzam Noteikumu 64.</w:t>
            </w:r>
            <w:r w:rsidR="00000000" w:rsidRPr="00000000" w:rsidDel="00000000">
              <w:rPr>
                <w:vertAlign w:val="superscript"/>
                <w:rtl w:val="0"/>
              </w:rPr>
              <w:t xml:space="preserve">1</w:t>
            </w:r>
            <w:r w:rsidR="00000000" w:rsidRPr="00000000" w:rsidDel="00000000">
              <w:rPr>
                <w:rtl w:val="0"/>
              </w:rPr>
              <w:t xml:space="preserve">. punktu izteikt zemāk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Inovācijas kopai, saskaņā ar Komisijas regulu Nr. 651/2014 saņemto komercdarbības atbalstu drīkst kumulēt ar programmas "Digitālā Eiropa" ietvaros sniegto atbalstu un ar citu valsts atbalstu, tai skaitā par vienām un tām pašām attiecināmajām izmaksām, vai citu valsts atbalstu tam pašam riska finansējuma pasākumam, ja netiek pārsniegta attiecīgā maksimālā atbalsta intensitāte vai atbalsta summa, kāda noteikta komercdarbības atbalsta programmā vai Eiropas Komisijas lēmumā. Lai noteiktu, vai ir ievērotas Komisijas regulas Nr. 651/2014 4. pantā noteiktās paziņošanas robežvērtības un III nodaļā noteiktā atbalsta maksimālā intensitāte, ņem vērā atbalstāmajai darbībai, projektam vai uzņēmumam piešķirtā valsts atbalsta kopsummu.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Inovācijas kopa atsevišķas atbalstāmās darbības var īstenot ārpakalpojumu veidā, ciktāl tas saistīts ar Komisijas regulas Nr. 651/2014 27. panta 8. punktā minētajām darbībām, kuras nav pretrunā ar šo noteikumu 55.</w:t>
            </w:r>
            <w:r w:rsidR="00000000" w:rsidRPr="00000000" w:rsidDel="00000000">
              <w:rPr>
                <w:vertAlign w:val="superscript"/>
                <w:rtl w:val="0"/>
              </w:rPr>
              <w:t xml:space="preserve">3</w:t>
            </w:r>
            <w:r w:rsidR="00000000" w:rsidRPr="00000000" w:rsidDel="00000000">
              <w:rPr>
                <w:rtl w:val="0"/>
              </w:rPr>
              <w:t xml:space="preserve"> punktā minētajiem nosacījumiem. Piesaistot ārpakalpojumu, inovācijas kopa iepirkumu organizē saskaņā ar iepirkumu likumu vai, ja minētais likums nav piemērojams, ievēro Ministru kabineta 2017. gada 28. februāra noteikumos Nr. 104 “Noteikumi par iepirkuma procedūru un tās piemērošanas kārtību pasūtītāja finansētiem projektiem” noteikto kārtību, nodrošinot iepirkuma procedūras atklātību, pārredzamību, vienlīdzīgu attieksmi un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ietverto norādi "Inovācijas kopa ārpakalpojuma iepirkumu organizē saskaņā ar Ministru kabineta 2017. gada 28. februāra noteikumiem Nr.104 "Noteikumi par iepirkuma procedūru un tās piemērošanas kārtību pasūtītāja finansētiem projektiem", salāgojot to ar noteikumu projekta 61. punktā izteikto noteikumu 76.punkta otro teikumu, vienlaikus aicinām minētā noteikumu punkta otrajā teikumā pirms vārdiem  "iepirkumu likumu" papildināt ar vārdu "Publisko".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30.06.2026.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30.06.2026.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