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pirmās, otrās un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41.2.1. projektiem ar tiešajām attiecināmajām izmaksām virs 5 000 000 </w:t>
            </w:r>
            <w:r w:rsidR="00000000" w:rsidRPr="00000000" w:rsidDel="00000000">
              <w:rPr>
                <w:i w:val="1"/>
                <w:rtl w:val="0"/>
              </w:rPr>
              <w:t xml:space="preserve">euro</w:t>
            </w:r>
            <w:r w:rsidR="00000000" w:rsidRPr="00000000" w:rsidDel="00000000">
              <w:rPr>
                <w:rtl w:val="0"/>
              </w:rPr>
              <w:t xml:space="preserve"> maksimālais ierobežojums Eiropas Reģionālās attīstības fonda daļai tiešajām projekta vadības personāla izmaksām ir līdz 84 787 </w:t>
            </w:r>
            <w:r w:rsidR="00000000" w:rsidRPr="00000000" w:rsidDel="00000000">
              <w:rPr>
                <w:i w:val="1"/>
                <w:rtl w:val="0"/>
              </w:rPr>
              <w:t xml:space="preserve">euro</w:t>
            </w:r>
            <w:r w:rsidR="00000000" w:rsidRPr="00000000" w:rsidDel="00000000">
              <w:rPr>
                <w:rtl w:val="0"/>
              </w:rPr>
              <w:t xml:space="preserve"> kalendārajā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MK noteikumu 41.2.1.punktu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41.2.1.  projektiem ar tiešajām attiecināmajām izmaksām virs 5 000 000 euro maksimālais ierobežojums Eiropas Reģionālās attīstības fonda daļai tiešajām projekta vadības personāla izmaksām ir līdz 84 787 euro kalendārajā gadā, pieskaitot 0,64 procentus no projekta tiešajām attiecināmajām izmaksām, neieskaitot tiešās projekta vadības personāla izmaksas un summu reizinot ar projekta atlikušo ilgumu gados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03.12.2024.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03.12.2024.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