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administrē un uzrauga valsts un Eiropas Savienības atbalstu lauksaimniecībai;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apakšpunktu saskaņā ar Ministru kabineta 2009. gada 3. februāra noteikumu Nr.108 “Normatīvo aktu projektu sagatavošanas noteikumi” (turpmāk - noteikumi Nr. 108) 100.2. apakšpunktu nepieciešams izteikt precīzi atbilstoši Lauksaimniecības un lauku attīstības likuma (turpmāk – likums) 5. panta septītajā daļā noteiktajam pilnvarojumam, kā arī citos noteikumu projekta 1. punkta apakšpunktos un anotācijā minētajam. Vēršam uzmanību, ka likuma pilnvarojuma norma paredz atbalstu lauksaimniecībai, lauku attīstībai un zivsaimniecībai. Tādējādi noteikumu projekta 1.1. apakšpunktā šobrīd nav norādīts atbalsts lauku attīstībai, lai gan citi šī punkta apakšpunkti paredz šādu regulējumu, kādēļ lūdzam atbilstoši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Visiem KLP SP uzraudzības komitejas locekļiem ir balsstiesības, bet Eiropas Komisijas pārstāvji un Agroresursu un ekonomikas institūta pārstāvji KLP SP uzraudzības komitejā piedalās konsultanta statusā.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124. panta 2. punkts cita starpā paredz, ka katram uzraudzības komitejas loceklim ir balsstiesības, savukārt Komisijas pārstāvji piedalās uzraudzības komitejas darbā kā konsultanti. Attiecīgi lūdzam izvērtēt un precizēt noteikumu projekta 23. punktu, kas paredz konsultanta statusā dalību minētās komitejas darbībā arī Agroresursu un ekonomikas institūta pārstāvjiem, vai sniegt pamatotu skaidrojumu, kādēļ pieļaujams izņēmums no attiecīgās minētās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272. panta 53. punktu Lauku atbalsta dienests neatbilstošos izdevumus neatgūst, ja atgūstamā summa vienai intervencei nepārsniedz 250 euro no fonda finansējuma vienā grāmatvedības gadā, neieskaitot procentus, un šo summu nav iespējams ieturēt no jebkuriem Lauku atbalsta dienesta administrētajiem nākamajiem atbalsta maksājumiem. Neatbilstošos izdevumus neatgūst arī citos pienācīgi pamatotos gadījumos, kas noteikti Zemkopības ministrijas apstiprinātajās un tās tīmekļa vietnē publicētajās vadlīnijās "Neatbilstošo izdevumu izvērtēšana un to neatgūšanas 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108 131. punktam lūdzam noteikumu projekta 81. punktā svītrot atsauci uz Zemkopības ministrijas apstiprinātajām un tās tīmekļa vietnē publicētajām vadlīnijām "Neatbilstošo izdevumu izvērtēšana un to neatgūšanas gadījumi", nepieciešamības gadījumā pārņemot attiecīgo vadlīniju prasības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Atbalsta saņēmēja pienākums ir atmaksāt neatbilstošos izdevumus. Ja atbalsta saņēmējs, kas nav budžeta iestāde, neatmaksā neatbilstošos izdevumus Lauku atbalsta dienesta lēmumā noteiktajā termiņā, atbalsta saņēmējs par katru nokavējuma dienu maksā nokavējuma naudu – sešus procentus gadā no neatmaksātās summas saskaņā ar Civillikumā noteikto. Lauku atbalsta dienests neatbilstošos izdevumus un aprēķināto nokavējuma naudu ir tiesīgs ieturēt no atbalsta saņēmēja nākamajiem maksājumiem.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 punktu par neatbilstošo izdevumu atmaksas pienākumu, tai skaitā nokavējuma naudas maksāšanu nepieciešams izvērtēt un precizēt vai svītrot. Vēršam uzmanību, ka šajā normā paredzētais regulējums ir pretrunā ar Administratīvā procesa likuma 11. pantā noteikto likuma atrunas principu, jo nokavējuma naudas piedzīšanas tiesības ir privātpersonai nelabvēlīgs materiālo tiesību regulējums un to Ministru kabinets ar noteikumiem bez īpaša likuma pilnvarojuma nav tiesīgs noteikt. Papildus vēršam uzmanību, ka administratīvais process iestādē ir publiskās tiesības, savukārt Civillikumā noteiktais regulējums ir paredzēts privāto tiesību jomai. Iestāde to varētu izmantot, ja šādas tiesības būtu noteiktas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82. punktu svītrot vai precizēt līdzīgi, kā ir izteikts noteikumu projekta 86. punkts, proti, normu izteikt kā ārējo atsauci par nozares likuma vai regulas piemērošanu. Papildus lūdzam izvērtēt noteikumu projekta VIII nodaļā izmantoto apzīmējumu “neatbilstošie izdevumi” un nepieciešamības gadījumā precizēt noteikumu projektā lietoto terminoloģiju, saskaņojot to ar likumā noteikto, ņemot vērā, ka likuma 5. panta trīspadsmitā daļa paredz “nepamatoti izmaksātā atbalsta”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Lai identificētu visus lauksaimniecības zemes gabalus saimniecībā un (vai) lauksaimniecībā neizmantojamo zemi, Lauku atbalsta dienests atbalsta pretendentam elektroniskajā pieteikumu sistēmā nodrošina ģeotelpiskā atbalsta pieteikuma veidlapu (vienoto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49. punktu, izvairoties no konstrukcijas "un (vai)", bet tā vietā norādot uz saikli "un" vai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Piemērojot platību uzraudzības sistēmu, katrai intervencei deklarētajam laukam tiek noteikts tajā augošais kultūraugs un novērtēti citi atbalsta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57. punktā norādīt uz platību uzraudzības (monitoringa) sistēmu, līdzīgi kā cituviet šajā nodaļā, vai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Lauku atbalsta dienests veic atbalsta pretendentu iesniegumu administratīvās pārbaudes un, ja nepieciešams, iesaistīto trešo personu administratīvās pārbaudes, kā arī pārbaudes vai vizītes uz vietas, šajā nolūkā attiecīgā situācijā izmantojot arī tālizpēti vai platību uzraudzības sistēmu, vai citas atbilstošas tehnoloģijas, un saskaņā ar regulu 2021/2116 dokumentē un uzskaita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 punktā norādīts, ka termins "atbalsta pretendents" attiecas uz darbībām, kuras veic, piesakoties uz valsts un Eiropas Savienības atbalstu, bet termins “atbalsta saņēmējs”  attiecas uz darbībām, kuras īsteno no brīža, kad “atbalsta pretendenta” iesniegtais pieteikums ir apstiprināts Lauku atbalsta dienestā. Saistībā ar minēto lūdzam izvērtēt noteikumu projekta 61. punktā un nepieciešamības gadījumā cituviet noteikumu projektā lietoto terminoloģiju, jo nav viennozīmīgi skaidrs, vai pārbaudīts tiek iesniegums (kā minēts 61. punktā), projekta iesniegums (uz norādīts noteikumu projekta 33. punktā, bet attiecībā uz 61. punkta saturu skaidrots noteikumu projekta anotācijā) vai pieteikums (uz ko norādīts izziņas 3. punktā, kā arī noteikumu projekta VIII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Saņemot pieprasījumu par rūpīgo pārbaudi no citas Eiropas Savienības dalībvalsts, kurā saimnieciskās darbības veicējs nodarbojas ar uzņēmējdarbību, Lauku atbalsta dienests vai Valsts ieņēmumu dienests veic saimnieciskās darbības veicēja rūpīgo pārbaudi saskaņā ar regulas 2021/2116 79.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71. punktā aizstāt vārdu "uzņēmējdarbību" ar vārdiem "saimniecisko darbību", tādējādi nodrošinot atbilstošu terminoloģiju, ņemot vērā saskaņošanas ietvaros šajā punktā izdarīto precizējumu, ka runa ir par saimnieciskās darbības veicēju, nevis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08.12.2022.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08.12.2022.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Atzinumi_22-TA-3048.docx</dc:title>
</cp:coreProperties>
</file>

<file path=docProps/custom.xml><?xml version="1.0" encoding="utf-8"?>
<Properties xmlns="http://schemas.openxmlformats.org/officeDocument/2006/custom-properties" xmlns:vt="http://schemas.openxmlformats.org/officeDocument/2006/docPropsVTypes"/>
</file>