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mērķis, tajā skaitā, ir novērst vides piesārņojuma riskus, kas saistīti ar elektronisko smēķēšanas ierīču neatbilstošu un neefektīvu apsaimniekošanu, tātad ar potenciālu ietekmi uz vidi, kā arī cilvēka veselību un labbūtību, aicinām apsvērt iespēju veikt likuma ex-post ietekmes novērtēšanu trīs līdz piecu gadu laikā no tā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Ex-post izvērtējums ir veicams ar mērķi noskaidrot, kā ir praksē ieviestas likuma prasības, vai ir sasniegts noteikumu mērķis un kāda ir regulējuma ietekme uz mērķa grupām. Saskaņā ar Ministru kabineta noteikumu Nr.617 "Tiesību akta projekta sākotnējās ietekmes izvērtēšanas kārtība" 20.punktu, ja projektam paredzēta tiesību akta pēcpārbaudes ietekmes (ex-post) izvērtēšana, šo informāciju iekļauj anotācijā, norādot pamatojumu, termiņu, kā arī projekta mērķa sasniegšanas rezultātus un to vērtēšanas rādītājus. Ex-post novērtējuma rezultāti savukārt kalpo par pamatu lēmuma pieņemšanai par tiesību akta īstenošanas turpināšanu, pārskatīšanu vai jauna normatīvā regulējuma izstrādi, tādējādi uzlabojot tiesiskā regulējuma kvalitāti, aktualitāti un efektivitāti. Ietekmes novērtējums var kalpot arī par pamatu jaunām iniciatīvām, lai sekmētu konkrētā regulējuma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stiprināt tiesību aktu izvērtēšanas praksi Latvijā, cita starpā, Valsts kanceleja ir izstrādājusi vadlīnijas tiesību aktu ex-post ietekmes izvērtēšanai, kas tiks prezentētas plašākai auditorijai š.g. 9. oktobrī un drīzumā būs publiski pieejamas praktiskai izmantošanai tiesību aktu ietekmes izvērtēšanai.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(Inese Kušķe (VK)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06.10.2025.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06.10.2025.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Atzinumi_25-TA-745.docx</dc:title>
</cp:coreProperties>
</file>

<file path=docProps/custom.xml><?xml version="1.0" encoding="utf-8"?>
<Properties xmlns="http://schemas.openxmlformats.org/officeDocument/2006/custom-properties" xmlns:vt="http://schemas.openxmlformats.org/officeDocument/2006/docPropsVTypes"/>
</file>