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Pārvaldītājs var nodot zemi energoapgādes komersantu objektu, elektronisko sakaru tīklu un centralizētās ūdensapgādes vai centralizētās kanalizācijas sistēmas vai tās daļas ierīkošanai, būvniecībai un ekspluatācijai, noslēdzot attiecīgi </w:t>
            </w:r>
            <w:r w:rsidR="00000000" w:rsidRPr="00000000" w:rsidDel="00000000">
              <w:rPr>
                <w:rtl w:val="0"/>
              </w:rPr>
              <w:t xml:space="preserve">Enerģētikas likumā</w:t>
            </w:r>
            <w:r w:rsidR="00000000" w:rsidRPr="00000000" w:rsidDel="00000000">
              <w:rPr>
                <w:rtl w:val="0"/>
              </w:rPr>
              <w:t xml:space="preserve">, </w:t>
            </w:r>
            <w:r w:rsidR="00000000" w:rsidRPr="00000000" w:rsidDel="00000000">
              <w:rPr>
                <w:rtl w:val="0"/>
              </w:rPr>
              <w:t xml:space="preserve">Elektronisko sakaru likumā</w:t>
            </w:r>
            <w:r w:rsidR="00000000" w:rsidRPr="00000000" w:rsidDel="00000000">
              <w:rPr>
                <w:rtl w:val="0"/>
              </w:rPr>
              <w:t xml:space="preserve"> vai </w:t>
            </w:r>
            <w:r w:rsidR="00000000" w:rsidRPr="00000000" w:rsidDel="00000000">
              <w:rPr>
                <w:rtl w:val="0"/>
              </w:rPr>
              <w:t xml:space="preserve">Ūdenssaimniecības pakalpojumu likumā</w:t>
            </w:r>
            <w:r w:rsidR="00000000" w:rsidRPr="00000000" w:rsidDel="00000000">
              <w:rPr>
                <w:rtl w:val="0"/>
              </w:rPr>
              <w:t xml:space="preserve"> paredzētajos gadījumos starp pusēm līgumu par zemes lietošanas tiesību aprobežošanu, ja tas netraucē dzelzceļa infrastruktūras attīstībai, tā drošai ekspluatācijai, satiksmes drošībai vai pārvaldītāja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noteic, ka pārvaldītājs var nodot zemi energoapgādes komersantu objektu, elektronisko sakaru tīklu un centralizētās ūdensapgādes vai centralizētās kanalizācijas sistēmas vai tās daļas ierīkošanai, būvniecībai un ekspluatācijai, noslēdzot attiecīgi Enerģētikas likumā, Elektronisko sakaru likumā vai Ūdenssaimniecības pakalpojumu likumā paredzētajos gadījumos starp pusēm līgumu par zemes lietošanas tiesību aprobežošanu, </w:t>
            </w:r>
            <w:r w:rsidR="00000000" w:rsidRPr="00000000" w:rsidDel="00000000">
              <w:rPr>
                <w:u w:val="single"/>
                <w:rtl w:val="0"/>
              </w:rPr>
              <w:t xml:space="preserve">ja tas netraucē dzelzceļa infrastruktūras attīstībai, tā drošai ekspluatācijai, satiksmes drošībai vai pārvaldītāja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Enerģētikas likums, Elektronisko sakaru likums un Ūdenssaimniecības pakalpojumu likums nenosaka gadījumus, kad slēdzams līgums par zemes lietošanas tiesību aprobežojumiem, jo īpašuma lietošanas tiesību aprobežojumi energoapgādes komersantu objektu, elektronisko sakaru tīklu un centralizētās ūdensapgādes vai centralizētās kanalizācijas sistēmas vai tās daļas ierīkošanai, būvniecībai un ekspluatācijai ir nodibināmi, pamatojoties uz iepriekš minētajiem likumiem. Līguma slēgšana nepieciešama tikai atlīdzības izmaksai zemes īpašniekam par nekustamā īpašuma lietošanas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minētajā normā noteiktais, kas paredz, ka pārvaldītājs var nodot zemi, ja tas netraucē dzelzceļa infrastruktūras attīstībai, tā drošai ekspluatācijai, satiksmes drošībai vai pārvaldītāja darbības nodrošināšanai, ir pretrunā ar Enerģētikas likuma 19.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daļai, kas pieļauj energoapgādes komersanta tiesības saskaņošanas procedūru aizstāt ar zemes īpašnieka informēšanu gadījumos, ja zeme tiek izmantota jaunu energoapgādes komersanta objektu — iekārtu, ierīču, ietaišu, tīklu, līniju un to piederumu ierīkošanai vai esošo energoapgādes komersanta objektu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9.punkts būtu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Zemai energoapgādes komersantu objektu, elektronisko sakaru tīklu un centralizētās ūdensapgādes vai centralizētās kanalizācijas sistēmas vai tās daļas ierīkošanai, būvniecībai un ekspluatācijai atbilstoši Enerģētikas likumam, Elektronisko sakaru likumam, Ūdenssaimniecības pakalpojumu likumam var tikt noteikti nekustamā īpašuma lietošanas tiesību aprobežojumi vai citi normatīvajos aktos noteiktie apgrūtinājumi, pārvaldītājam un attiecīgajam komersantam noslēdzot līgumu par atlīdzības izmaksu par nekustamā īpašuma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Līgumā par servitūta nodibināšanu paredz, ka pārvaldītājam ir tiesības, 90 dienas iepriekš rakstiski informējot, vienpusēji atkāpties no līguma, neatlīdzinot servitūta lietotājam zaudējumus, kas saistīti ar līguma izbeigšanu, ja zeme nepieciešama dzelzceļa infrastruktūras attīstībai, pārvaldītāja darbības nodrošināšanai vai valstij normatīvajos aktos noteikto publisko funkciju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elektroenerģija pārvades sistēmas operatora akciju sabiedrības “Augstsprieguma tīkls” sniegto viedokli attiecībā uz Noteikumu projekta 13. – 16.punktā minēto regulējumu par valstij piederošās vai piekrītošās zemes publiskās lietošanas dzelzceļa infrastruktūras zemes nodalījuma joslā apgrūtināšanu ar servitūtiem, Klimata un enerģētikas ministrijas ieskatā būtu nepieciešams precizēt Noteikumu projektu, nosakot, ka Noteikumu projekta 16.punkts nav piemērojams, ja līgumu par servitūta nodibināšanu slēdz pārvaldītājs un energoapgādes komersants. Minētais izņēmums nepieciešams tādēļ, ka energoapgādes komersanta objekti ir saistīti ar būtisku nacionālo un sabiedrības interešu īstenošanu, kas nav mazāk nozīmīgas par dzelzceļa infrastruktūras attīstīšanu. Šādu energoapgādes komersanta objektu īstenošanā tiek ieguldīti valsts kapitālsabiedrības finanšu līdzekļi, to vēlāka demontāža pēc zemes īpašnieka pieprasījuma nav samērīga un nebūtu pieļaujama. Bez tam energoapgādes komersantam saskaņā ar Enerģētikas likuma ir tiesības vienpusēji būvēt tam piederošajā nekustamajā īpašumā energoapgādes komersanta objektu.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zeme nepieciešama dzelzceļa infrastruktūras attīstībai, pārvaldītāja darbības nodrošināšanai vai normatīvajos aktos noteikto publisko funkciju veikšanai,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minēto inženierbūvi pārvieto atbilstoši normatīvajos aktos noteiktajam, ja puses līgumā nevienojas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Noteikumu projekta 12.punktu, svītrojot vārdus  “ja puses līgumā nevienojas citādi”, jo Aizsargjoslu likuma 35.panta sestā daļa jau pieļauj pušu vienošanos attiecībā objekta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11.10.2023.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11.10.2023.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