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799 "Licencētās makšķerēšanas, vēžošanas un zemūdens medību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saskaņā ar vides aizsardzības institūcijas atzinumu vai zinātniski pamatotām rekomendācijām ir nepieciešami zivju resursu aizsardzības pasākumi un Zemkopības ministrija pēc saskaņošanas ar Valsts vides dienestu vai Dabas aizsardzības pārvaldi (ja zivju resursu aizsardzības pasākumi nepieciešami īpaši aizsargājamā dabas teritorijā) par to pieņem lēmumu, pēc kura stāšanās spēkā nav iespējama atbilstošā nolikuma turpmākā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normu daļā par paredzēto lēmumu, jo nav noteiktības par lēmumu, ar kuru nav iespējama atbilstošā nolikuma turpmākā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organizētājs atkārtoti nenodrošina šajos noteikumos vai nolikumā minēto prasību izpildi un pašvaldība pēc savas iniciatīvas vai pēc Zemkopības ministrijas, Valsts vides dienesta vai Dabas aizsardzības pārvaldes (ja organizētājs atkārtoti nenodrošina šajos noteikumos vai nolikumā minēto prasību izpildi īpaši aizsargājamā dabas teritorijā) ierosinājuma pieņem lēmumu par nolikuma atzīšanu par spēku zaudējušu. Šādā situācijā organizētājs atmaksā personām iegādāto, bet neizmantoto licenču vērtību, kā arī sedz tos pašvaldības izdevumus, kas saistīti ar licencētās makšķerēšanas, vēžošanas vai zemūdens medību pārtraukšanu pirms nolikuma gala termiņa, ja vien organizētājs nav pati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iespēju noteikt, ka lēmumu var pieņemt arī gadījumā, ja netiek ievēroti pašvaldību saistošie noteikumi, kas izdoti saskaņā ar Zvejniecības likuma 10. panta piekto daļu. Vienlaikus norādām, ka normas pirmais teikums ir grūti uztverams un ierosinām to precizēt, kā arī lūdzam paredzēt, ka Zemkopības ministrijas, Valsts vides dienesta vai Dabas aizsardzības pārvaldes ierosinājumam pašvaldībai ir ieteikuma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25.08.2026. 08.54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25.08.2026. 08.54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Atzinumi_25-TA-471.docx</dc:title>
</cp:coreProperties>
</file>

<file path=docProps/custom.xml><?xml version="1.0" encoding="utf-8"?>
<Properties xmlns="http://schemas.openxmlformats.org/officeDocument/2006/custom-properties" xmlns:vt="http://schemas.openxmlformats.org/officeDocument/2006/docPropsVTypes"/>
</file>