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par apstāšanās vai stāvēšanas noteikumu pārkāpumu, kā arī administratīvo sodu par pārkāpumu, kas fiksēts ar tehniskiem līdzekļiem, neapturot transportlīdzekli, un ar to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Ceļu satiksmes likuma 43.</w:t>
            </w:r>
            <w:r w:rsidR="00000000" w:rsidRPr="00000000" w:rsidDel="00000000">
              <w:rPr>
                <w:vertAlign w:val="superscript"/>
                <w:rtl w:val="0"/>
              </w:rPr>
              <w:t xml:space="preserve">1</w:t>
            </w:r>
            <w:r w:rsidR="00000000" w:rsidRPr="00000000" w:rsidDel="00000000">
              <w:rPr>
                <w:rtl w:val="0"/>
              </w:rPr>
              <w:t xml:space="preserve"> panta pirmajā daļā ir paredzēts, ka transportlīdzekļu vadītāju izdarītie administratīvie pārkāpumi tiek reģistrēti </w:t>
            </w:r>
            <w:r w:rsidR="00000000" w:rsidRPr="00000000" w:rsidDel="00000000">
              <w:rPr>
                <w:b w:val="1"/>
                <w:rtl w:val="0"/>
              </w:rPr>
              <w:t xml:space="preserve">Sodu reģistrā. </w:t>
            </w:r>
            <w:r w:rsidR="00000000" w:rsidRPr="00000000" w:rsidDel="00000000">
              <w:rPr>
                <w:rtl w:val="0"/>
              </w:rPr>
              <w:t xml:space="preserve">Savukārt pārkāpumu uzskaites punkti — transportlīdzekļu un to vadītāju valsts reģistrā. Līdz ar to transportlīdzekļu un to vadītāju valsts reģistra ir iekļaujama informācija tikai par izdarīto pārkāpumu, nevis par piemēroto sodu par attiecīgo pārkāpumu. Ņemot vērā minēto, lūdzam precizēt Ministru kabineta noteikumu projekta "Transportlīdzekļu un to vadītāju valsts reģistra noteikumi" (turpmāk – projekts) 7.3.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fiziskajai personai piederošu, turējumā vai valdījumā reģistrētu transportlīdzekli vai kuģošanas līdzekli, ja tiek identificēti personas dati,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2.2. un 2.3. apakšpunkts noteic, ka </w:t>
            </w:r>
            <w:r w:rsidR="00000000" w:rsidRPr="00000000" w:rsidDel="00000000">
              <w:rPr>
                <w:u w:val="single"/>
                <w:rtl w:val="0"/>
              </w:rPr>
              <w:t xml:space="preserve">normatīvā akta projekta tekstu raksta, ievērojot</w:t>
            </w:r>
            <w:r w:rsidR="00000000" w:rsidRPr="00000000" w:rsidDel="00000000">
              <w:rPr>
                <w:rtl w:val="0"/>
              </w:rPr>
              <w:t xml:space="preserve"> valsts valodas literārās un gramatiskās normas, </w:t>
            </w:r>
            <w:r w:rsidR="00000000" w:rsidRPr="00000000" w:rsidDel="00000000">
              <w:rPr>
                <w:u w:val="single"/>
                <w:rtl w:val="0"/>
              </w:rPr>
              <w:t xml:space="preserve">juridisko terminoloģiju</w:t>
            </w:r>
            <w:r w:rsidR="00000000" w:rsidRPr="00000000" w:rsidDel="00000000">
              <w:rPr>
                <w:rtl w:val="0"/>
              </w:rPr>
              <w:t xml:space="preserve"> un pareizrakstības prasības, kā arī </w:t>
            </w:r>
            <w:r w:rsidR="00000000" w:rsidRPr="00000000" w:rsidDel="00000000">
              <w:rPr>
                <w:u w:val="single"/>
                <w:rtl w:val="0"/>
              </w:rPr>
              <w:t xml:space="preserve">normatīvajiem aktiem atbilstošā vienotā stilistikā, izmantojot vienveidīgas un standartizētas vārdiskās izteiksmes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Ceļu satiksmes likuma 14.</w:t>
            </w:r>
            <w:r w:rsidR="00000000" w:rsidRPr="00000000" w:rsidDel="00000000">
              <w:rPr>
                <w:vertAlign w:val="superscript"/>
                <w:rtl w:val="0"/>
              </w:rPr>
              <w:t xml:space="preserve">1</w:t>
            </w:r>
            <w:r w:rsidR="00000000" w:rsidRPr="00000000" w:rsidDel="00000000">
              <w:rPr>
                <w:rtl w:val="0"/>
              </w:rPr>
              <w:t xml:space="preserve"> panta pirmajā daļā ir minēta </w:t>
            </w:r>
            <w:r w:rsidR="00000000" w:rsidRPr="00000000" w:rsidDel="00000000">
              <w:rPr>
                <w:u w:val="single"/>
                <w:rtl w:val="0"/>
              </w:rPr>
              <w:t xml:space="preserve">informācija par fiziskajai personai piederošu transportlīdzekli</w:t>
            </w:r>
            <w:r w:rsidR="00000000" w:rsidRPr="00000000" w:rsidDel="00000000">
              <w:rPr>
                <w:rtl w:val="0"/>
              </w:rPr>
              <w:t xml:space="preserve">, identificējot personas datus, fiziskajai personai reģistrētiem pārkāpumu uzskaites punktiem, j</w:t>
            </w:r>
            <w:r w:rsidR="00000000" w:rsidRPr="00000000" w:rsidDel="00000000">
              <w:rPr>
                <w:u w:val="single"/>
                <w:rtl w:val="0"/>
              </w:rPr>
              <w:t xml:space="preserve">uridiskajai personai piederošu speciālo militāro transportlīdzekli un tā piekabi, kā arī speciālo militāro tehniku un tās piekabi</w:t>
            </w:r>
            <w:r w:rsidR="00000000" w:rsidRPr="00000000" w:rsidDel="00000000">
              <w:rPr>
                <w:rtl w:val="0"/>
              </w:rPr>
              <w:t xml:space="preserve">, bet projekta 14. punkta ievaddaļā ir minēta </w:t>
            </w:r>
            <w:r w:rsidR="00000000" w:rsidRPr="00000000" w:rsidDel="00000000">
              <w:rPr>
                <w:u w:val="single"/>
                <w:rtl w:val="0"/>
              </w:rPr>
              <w:t xml:space="preserve">informācija par fiziskajai personai piederošu, turējumā vai valdījumā reģistrētu transportlīdzekli vai kuģošanas līdzekli</w:t>
            </w:r>
            <w:r w:rsidR="00000000" w:rsidRPr="00000000" w:rsidDel="00000000">
              <w:rPr>
                <w:rtl w:val="0"/>
              </w:rPr>
              <w:t xml:space="preserve">, un projekta 16. punkta ievaddaļā ir minēta </w:t>
            </w:r>
            <w:r w:rsidR="00000000" w:rsidRPr="00000000" w:rsidDel="00000000">
              <w:rPr>
                <w:u w:val="single"/>
                <w:rtl w:val="0"/>
              </w:rPr>
              <w:t xml:space="preserve">informācija par juridiskajai personai piederošu speciālo militāro transportlīdzekli un speciālā militārā transportlīdzekļa piekabi, par tiesībsargājošo iestāžu transportlīdzekļiem, tostarp iestāžu, kuru amatpersonas veic kriminālprocesu vai operatīvo darbību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14. un 16. punkta ievaddaļu atbilstoši Ceļu satiksmes likuma 14.</w:t>
            </w:r>
            <w:r w:rsidR="00000000" w:rsidRPr="00000000" w:rsidDel="00000000">
              <w:rPr>
                <w:vertAlign w:val="superscript"/>
                <w:rtl w:val="0"/>
              </w:rPr>
              <w:t xml:space="preserve">1</w:t>
            </w:r>
            <w:r w:rsidR="00000000" w:rsidRPr="00000000" w:rsidDel="00000000">
              <w:rPr>
                <w:rtl w:val="0"/>
              </w:rPr>
              <w:t xml:space="preserve"> panta pirmajā daļā ietvertajam regulējumam, vienlaikus nedublējot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valsts un pašvaldību iestādēm vai institūcijām, kam deleģēti valsts vai pašvaldību iestāžu uzdevumi un kurām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precizēt projekta 14.2., 15.1. un 16.1. apakšpunktu atbilstoši Tieslietu ministrijas 25.06.2024. un 16.08.2024. atzinumā norādītajam vai anotācijā norādīt, ar ko valsts pārvaldes iestādes atšķiras no institūcijām projekta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pārkāpumu uzskaites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Tieslietu ministrijas 25.06.2024. un 16.08.2924. atzinumā minēto iebildumu par to, ka pārkāpumu uzskaities punkti tomēr nav uzskatāmi par informāciju, kas ietilpst personas vadīšanas tiesību tvērumā (sk. arī projekta 4.16. apakšpunktu). Lūdzam izvērtēt iespēju informāciju par pārkāpumu uzskaites punktiem ietvert citā projekta vienībā (nodaļā, punktā) vai papildināt projektu ar jaunu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Vispārīgās datu aizsardzības regulas 5. panta 1. punkta "a" apakšpunktā nostiprināto likumīguma, godprātības un pārredzamības principu, lūdzam dzēst teikumu: "Ja Reģistra pārzinim būs nepieciešams apstrādāt vēl citus fizisko personu datus, Reģistra pārzinis tos identificēs datu apstrādes nepieciešamības brīdī (datu apstrādes nepieciešamība ir atkarīga no normatīvajos aktos ietvertā regulējuma un Reģistra funkcionalitātes)". Norādām, ka datu apstrādes noteikumi, tai skaitā reģistrā apstrādājamie personas dati, ir nosakāmi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07.10.2024.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07.10.2024.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