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visus projektā paredzētos grozījumus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(turpmāk - noteikumi), tostarp grozījumus, kas ietverti uz atkārtoto saskaņošanu nodotajā projekta redakcijā. Citastarp aicinām pamatot grozījuma noteikumu 38.1. apakšpunktā, kas projektā ietverts, ņemot vērā izziņas 21. punktā ietverto priekšlikumu, nepieciešamību un būtību, kā arī ietekmi uz jau apstiprinātiem projekta iesniegumiem un finansējuma saņēmējiem (ja tādi ir).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05.07.2024. 11.42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05.07.2024. 11.42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