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otrās kārtas īstenošanas ietvaros sasniedzami šādi mērķrādītāji: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protokollēmumu ar punktu, kas paredz izņēmumu, ka LM tiek atļauts precizēt 7.1.apakšpunktā noteiktā rādītāja mērķa vērtību mazāku, kā noteikts Padomes īstenošanas lēmumā par Atveseļošanas un noturības mehānisma plānu Latvijai, un pagarināt noteikumu projekta 7.punktā noteikto rādītāju sasniegšanas termiņu atbilstoši MK protokollēmuma projekta par "Informatīvo ziņojumu par Finanšu ministrijas pārziņā esošo Eiropas Savienības fondu un ārvalstu finanšu palīdzības aktualitātēm līdz 2023. gada 1. martam (pusgada ziņojums)" 3.2.punktā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Lēmumu par projekta iesnieguma apstiprināšanu ar nosacījumu pieņem, ja projekta iesniedzējam jāveic aģentūras noteiktās darbības, lai nodrošinātu investīcijas otrās kārtas projekta iesnieguma atbilstību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noteiktajiem atbilstības un kvalitātes kritērijiem. Ja kāds no lēmumā noteiktajiem nosacījumiem netiek izpildīts vai netiek izpildīts lēmumā noteiktajā termiņā, investīcijas otrās kārtas projekta iesniegums uzskatāms par noraidītu. Savukārt, ja nosacījumi tiek izpildīti, aģentūra izdod atzinumu par lēmumā noteikto nosacījumu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25.punkts paredz, ka lēmumu par projekta iesnieguma apstiprināšanu ar nosacījumu pieņem, ja projekta iesniedzējam jāveic aģentūras noteiktās darbības, lai nodrošinātu investīcijas otrās kārtas projekta iesnieguma atbilstību MK  noteikumu 1. pielikumā noteiktajiem atbilstības un kvalitātes kritērijiem. Tādējādi veidojas situācija, ka visi kvalitātes kritēriji ir precizējami un projektu iesniegumu rindošanu atbilstoši MK noteikumu 20.punktam būs iespējams nodrošināt, tikai izskatot visu  projektu iesniegumu precizējumus.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ņemot vērā projektu iesniegumu  atlases veidu,  kas nozīmē, ka starp projektu iesniegumu iesniedzējiem jābūt nodrošinātai  vienlīdzīgai sacensībai par projekta iesnieguma apstiprināšanu un finansējuma piešķiršanu, lūdzam definēt tādus  kvalitātes kritērijus, lai pirms pirmreizējā lēmuma, projektu iesniegumu kopvērtējums atbilstoši punktu skalai ļauj sarindot projektu iesniegumus prioritārā secībā, nosakot atbalstāmos projektus. Attiecīgi nodrošinot, ka veicot pirmreizējo projektu iesniegumu rindošanu būtu  skaidri zināmi projektu iesniegumi, kurus plānots atbalstīt. Tādā veidā paātrinot projektu iesniegumu atlasi un  neveidotu papildu slogu projektu iesniedzējiem, kuri pēc precizējumu veikšanas tiktu noraidīti nepietiekamā finansējuma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Investīcijas otrās kārtas projekta iesniedzējs  var apstrīdēt aģentūras pieņemto lēmumu Finanšu ministrijā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noteikumu projekta 13.punktā norādīto projekta iesniedzēja definīciju (publiskas personas un privātpersonas) un 23.punktu, priekšlikums apsvērt, vai šajā punktā nav ietveramas arī publiskas personas iespējas apstrīdēt aģentūras lēmumu, ja tas tiek paredzēts (pēc līdzības ar 14-20/21-27 periodu un citiem AF noteikumiem). Šobrīd 27.punkta redakcija noteic apstrīdēšanas kārtību tikai projekta iesniedzējam - privātpersonai, pret kuru tiek izdots administratīvais akts. Pret publisku personu tiek pieņemts lēmums, kas nav administratīvais akts, secīgi - uz to nav attiecināma APL noteiktā kārtība lēmuma apstrīdēšanai un pārsūdzēšanai.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otrās kārtas projekta iesniedzējs - privātpersona var apstrīdēt aģentūras pieņemto lēmumu Finanšu ministrijā Administratīvā procesa likumā noteiktajā kārtībā. Projekta iesniedzējs - publiska persona var apstrīdēt aģentūras pieņemto lēmumu viena mēneša laikā no tā spēkā stāšanās dienas Finanšu ministrijā, kuras pieņemtais lēmums par apstrīdēto aģentūras lēmumu nav pārsūdzams.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kas radušās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atbalstāmo darbību īstenošanai un pārsniedz līgumā noteikto Atveseļošanas fonda finansējuma apmēru, bet šādas izmaksas ir iekļaujamas investīcijas otrās kārtas projektā kā attiecināmais pašvaldības finansējums vai privātais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33.3. apakšpunktu (attiecībā uz izmaksām, kas pārsniedz Atveseļošanas fonda finansējumu un PVN izmaksas) nosakot, ka uz AF projekta īstenošanu (iekļaušanai projektā) pēc būtības ir attiecināmas tikai tādas projekta izmaksas, kas nepieciešamas konkrētā sasniedzamā rezultāta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kvalitātes kritērijā Nr. 3.7., ievērojot "4" zemsvītru un vērtēšanas konsekvenci ar citiem kvalitātes kritērijiem, noteikt, ka minimālais punktu skaits kvalitātes kritērijā ir vismaz 2 punkti. Ja projekta iesniedzējs nespēj nodrošināt minimālās prasības, projekts tiek noraidīts. Pretējā gadījumā kritērijs neatšķiras no citiem kvalitātes kritērijiem, kur nav noteikts nepieciešamais minimālais punktu skaits. Atšķirība ir ka šeit nevar saņemt "0".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kāpēc šajā kvalitātes kritērijā ir ietverts atšķirīgs kritērija novērtēšanas princips salīdzinājumā ar visiem pārējiem kvalitātes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1.3.sadaļas punktā “Risinājuma apraksts” aiz tabulas “Projekta vadības personāla izmaksu aprēķins” precizēt norādīto vienas pašvaldības projekta vadības un īstenošanas nodrošināšanai nepieciešamā indikatīvā finansējuma apmēru atbilstoši tabulā norādītajam, t.i. no 121 308 </w:t>
            </w:r>
            <w:r w:rsidR="00000000" w:rsidRPr="00000000" w:rsidDel="00000000">
              <w:rPr>
                <w:i w:val="1"/>
                <w:rtl w:val="0"/>
              </w:rPr>
              <w:t xml:space="preserve">euro</w:t>
            </w:r>
            <w:r w:rsidR="00000000" w:rsidRPr="00000000" w:rsidDel="00000000">
              <w:rPr>
                <w:rtl w:val="0"/>
              </w:rPr>
              <w:t xml:space="preserve"> uz 121 320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1.3.sadaļas punktā “Risinājuma apraksts” (18.lpp.) norādīto “Atveseļošanas plāna ieviešanā nav paredzēta ilgtspējas uzraudzība un, ja to neparedzēs arī CFLA līgumā par projekta īstenošanu, tad ilgtspējas nodrošināšana ir  tikai finansējuma saņēmēja atbildība.”, jo nav saprotams, kas var tikt paredzēts CFLA līgumā par projekta īstenošanu un kādu līdzekļu ietvaros tiks nodrošināta projekta ilgtspēja.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Finanšu ministrijas 20.12.2022. atzinumā izteikto 60.iebildumu nepieciešams anotācijas 1.3.sadaļas punktā “Risinājuma apraksts” tabulas “Projekta vadības personāla izmaksu aprēķins” ailē “Amata saime” norādīt arī amatu apakšsaimi (ja tās ir vairākas). Vienlaikus  ailē “Mēnešalgas grupa un kategorija” norādītā mēnešalgu grupa neatbilst ailē “Amata saime” norādītajai amatu saimei, kā arī vēršam uzmanību, ka atbilstoši MK 26.04.2022. noteikumiem Nr.262 “Valsts un pašvaldību institūciju amatu katalogs, amatu klasifikācijas un amatu apraksta izstrādāšanas kārtība” netiek vairs paredzētas amatu kategorijas. Līdz ar to nepieciešams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sadaļā  “Investīcijai pieejamais finansējums” precizēt informāciju par pašvaldību aizņemšanās iespējām Valsts kasē, jo visi jautājumi pašvaldību aizņēmumiem (ietekmē vispārējās valdības budžeta deficītu)  tiek izskatīti tikai gadskārtējā valsts budžeta izstrādes procesā. Līdz ar to lūdzam svītrot papildteikumu “paredzot iespēju nepieciešamības gadījumā šo izmaksu segšanai finansējumu aizņemties no Valsts kases” un pārējo šo rindkopu (līdz beigām) izteikt  šādā redakcijā: “Saskaņā ar Likumu par budžeta un finanšu vadību pašvaldībām ir tiesības saņemt aizņēmumus tikai  gadskārtējā valsts budžeta likumā noteiktajiem aizņēmuma  mērķiem un to nosacījumiem noteiktā pieļaujamā aizņēmuma  limita ietvaros. Saskaņā ar likuma “Par valsts budžetu 2023. gadam un budžeta ietvaru 2023., 2024. un 2025. gadam” 36. panta pirmās daļas 2. punktu, pašvaldībām 2023.gadā ir tiesības saņemt aizņēmumus Atveseļošanas fonda finansēto projektu īstenošanai, aizņēmuma summai nepārsniedzot  Atveseļošanas fonda finansējuma kopsummu  un pievienotās vērtības nodokļa izmaksām.  Par 2023.gada  pašvaldību aizņemšanās nosacījumiem Ministru kabinets un Latvijas Pašvaldību savienība ir panākusi vienošanos, kas iekļauta Ministru kabineta un Latvijas Pašvaldību savienības 2023.gada domstarpību un vienošanās protokolā par 2023. gada budžetu un budžeta ietvaru 2023. -2025. gadam. Tā kā visi  jautājumi par pašvaldību aizņemšanās  iespējām 2024.gadā, tajā skaitā  Atveseļošanas fonda finansēto projektu īstenošanai, ir skatāmi tikai likumprojekta  “Par valsts budžetu 2024. gadam un budžeta ietvaru 2024., 2025. un 2026. gadam” izstrādes procesā, ņemot vērā  pašvaldību kopējo pieļaujamo aizņēmuma palielinājumu, LM  budžeta sagatavošanas procesā sagatavos un  sniegs FM savus priekšlikumus, par  plašākām aizņemšanās  iespējam pašvaldībām (šo projektu būvuzraudzības, autoruzraudzības un būvprojekta piesaistes tehniskā projekta izmaksām, kā arī šo projektu  izmaksām līdz 10% no katra būvdarbu līguma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sadaļā “Mērķrādītāji” dzēst apakšpunktu ”3) papildus, lai rastu risinājumu izmaksu optimizēšanai, LM sadarbībā ar FM vērtē iespējas nodrošināt pašvaldībām Valsts kases aizdevumus, tādējādi radot valsts budžeta priekšfinansēšanas iespējas ne tikai Atveseļošanas fonda finansējuma un PVN izmaksu segšanai, bet arī, lai nosegtu  projekta izmaksas līdz 10% no katra būvdarbu līguma attiecināmajām izmaksām (t.i., indikatīvi 127 320 euro vienas ēkas izbūvei)”.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“detalizēts izdevumu aprēķins” precizēt indikatīvās izmaksas senioru ĢVPP infrastruktūras aprīkošanai atbilstoši norādītajam aprēķinam, t.i. no 2 278 376 </w:t>
            </w:r>
            <w:r w:rsidR="00000000" w:rsidRPr="00000000" w:rsidDel="00000000">
              <w:rPr>
                <w:i w:val="1"/>
                <w:rtl w:val="0"/>
              </w:rPr>
              <w:t xml:space="preserve">euro</w:t>
            </w:r>
            <w:r w:rsidR="00000000" w:rsidRPr="00000000" w:rsidDel="00000000">
              <w:rPr>
                <w:rtl w:val="0"/>
              </w:rPr>
              <w:t xml:space="preserve"> uz 2 278 248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"Cita informācija" minēts, ka indikatīvās PVN izmaksas, ko segs pašvaldības no sava budžeta,  plānotas pēc kopējām attiecināmajām izmaksām, un attiecīgi saskaitot 2.3.punktā norādīto pašvaldību budžeta izdevumu sadalījumu pa gadiem, summa veido 22 757 223 euro. Savukārt matemātiski aprēķinot PVN 21% no kopējām attiecināmajām izmaksām (68 753 017 euro), veido 14 438 133 euro. Līdz ar to lūdzam skaidrot, kā tika aprēķināts anotācijā norādītais pašvaldību budžeta izdevumu apmērs.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likumprojekta par valsts budžetu 2024. gadam un budžeta ietvaru 2024., 2025. un 2026. gadam izstrādes laikā paredzēt pašvaldībām iespēju saņemt aizņēmumu 3.1.2.3.i. investīcijas otrās kārtas projekta īstenošanai, nosakot, ka aizņēmuma apmērs nepārsniedz projekta Atveseļošanas fonda finansējuma kopsummu, pievienotās vērtības nodokļa izmaksas un papildu  pašvaldības izmaksas līdz 10 procentiem no projekta Atveseļošanas fonda finansējuma, un attiecīgi palielināt ikgadējo pašvaldību kopējo aizņēmumu limitu.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izvērtētu MK protokollēmuma projekta 4.punkta pamatotību, lūdzam LM sniegt informāciju un aprēķinus par papildus finansējuma apjomu, kas pašvaldībām būtu nepieciešams aizņēmuma no Valsts kases ietvaros. Vēršam uzmanību, ka visi jautājumi par pašvaldību aizņēmumiem 2024.gadā un vidējā termiņā būtu skatāmi tikai likumprojekta  “Par valsts budžetu 2024. gadam un budžeta ietvaru 2024., 2025. un 2026. gadam” izstrādes procesā, noteiktā pieļaujamā aizņēmuma  limita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Tisenkopfa (FM) (Inta Komisare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šo noteikumu </w:t>
            </w:r>
            <w:r w:rsidR="00000000" w:rsidRPr="00000000" w:rsidDel="00000000">
              <w:rPr>
                <w:rtl w:val="0"/>
              </w:rPr>
              <w:t xml:space="preserve">7.1. </w:t>
            </w:r>
            <w:r w:rsidR="00000000" w:rsidRPr="00000000" w:rsidDel="00000000">
              <w:rPr>
                <w:rtl w:val="0"/>
              </w:rPr>
              <w:t xml:space="preserve">apakšpunktā</w:t>
            </w:r>
            <w:r w:rsidR="00000000" w:rsidRPr="00000000" w:rsidDel="00000000">
              <w:rPr>
                <w:rtl w:val="0"/>
              </w:rPr>
              <w:t xml:space="preserve"> noteiktā mērķrādītāja sasniegšanai – Centrālās finanšu un līgumu aģentūras (turpmāk – aģentūra) informācija par noslēgtajiem  šo noteikumu </w:t>
            </w:r>
            <w:r w:rsidR="00000000" w:rsidRPr="00000000" w:rsidDel="00000000">
              <w:rPr>
                <w:rtl w:val="0"/>
              </w:rPr>
              <w:t xml:space="preserve">7.1. </w:t>
            </w:r>
            <w:r w:rsidR="00000000" w:rsidRPr="00000000" w:rsidDel="00000000">
              <w:rPr>
                <w:rtl w:val="0"/>
              </w:rPr>
              <w:t xml:space="preserve">apakšpunktā</w:t>
            </w:r>
            <w:r w:rsidR="00000000" w:rsidRPr="00000000" w:rsidDel="00000000">
              <w:rPr>
                <w:rtl w:val="0"/>
              </w:rPr>
              <w:t xml:space="preserve"> minētajiem līgumiem, kas paredz jaunu ģimeniskai videi pietuvinātu ilgstošas aprūpes pakalpojumu sniegšanas vietu izveidošanu, un šo līgumu kopijas;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8.1. apakšpunktā  pārskatīt un precizēt informāciju par līgumu kopiju pievienošanu, ņemot vērā, ka visi līgumi par projektu īstenošanu būs pieejami Kohēzijas politikas fondu vadības informācijas sistēmas  Atveseļošanas fonda modulī.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 finansējuma saņēmēja sagatavots pārskats par izveidotajām pakalpojumu sniegšanas vietām, kas ietver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ka Labklājības ministrija izstrādās 8.2.2.apakšpunktā minētā pārskata veidlapu par izveidotajām pakalpojumu sniegšanas vietām un ka arī saskaņos šo finansējuma saņēmēja sagatavoto pārskatu, ņemot vērā Labklājības ministrijas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8.2.2.1. ēku skaits, to atrašanās vieta, platība kvadrātmetros (m2),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minēto mērķa grupas personu izmitināšanai paredzētais vietu skaits ar apstiprinājumu, ka šīs personas būs investīcijas galasaņēmēji, pieejamais aprīkojums;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8.2.2.1. apakšpunktu ar vārdiem "finansējuma saņēmēja" pirms vārda "apstiprinājumu", jo pretējā gadījumā nav skaidrs kā apstiprinājums tas ir.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8.2.2.1. ēku skaits, to atrašanās vieta, platība kvadrātmetros (m2), šo noteikumu 4. punktā minēto mērķa grupas personu izmitināšanai paredzētais vietu skaits ar finansējuma saņēmēja apstiprinājumu, ka šīs personas būs investīcijas galasaņēmēji, pieejamais aprīkojums;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8.2.2.3. ka pabeigtie projekti atbilst Būvju vispārīgo prasību būvnormatīvā LBN 200-21 noteiktajām minimālajām vides pieejamības prasībām un ministrijas izstrādātajiem labās prakses ieteikumiem vides piekļūstamības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ka 8.2.2.3. apakšpunktā minētie labās prakses ieteikumi jāiekļauj projekta iesniegumā atbilstoši projekta īpatnībām, pretējā gadījumā CFLA būs grūtības identificēt, kuriem labās prakses ieteikumiem ir jābūt ņemtiem vērā projektā, kuriem 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otrās kārtas Atveseļošanas fonda finansējums ir 64  849 510 </w:t>
            </w:r>
            <w:r w:rsidR="00000000" w:rsidRPr="00000000" w:rsidDel="00000000">
              <w:rPr>
                <w:i w:val="1"/>
                <w:rtl w:val="0"/>
              </w:rPr>
              <w:t xml:space="preserve">euro </w:t>
            </w:r>
            <w:r w:rsidR="00000000" w:rsidRPr="00000000" w:rsidDel="00000000">
              <w:rPr>
                <w:rtl w:val="0"/>
              </w:rPr>
              <w:t xml:space="preserve">un pēc Eiropas Komisijas lēmuma par papildu Atveseļošanas fonda finansējuma pieejamību investīcijas otrās kārtas Atveseļošanas fonda finansējums ir 68  753 017 </w:t>
            </w:r>
            <w:r w:rsidR="00000000" w:rsidRPr="00000000" w:rsidDel="00000000">
              <w:rPr>
                <w:i w:val="1"/>
                <w:rtl w:val="0"/>
              </w:rPr>
              <w:t xml:space="preserve">euro</w:t>
            </w:r>
            <w:r w:rsidR="00000000" w:rsidRPr="00000000" w:rsidDel="00000000">
              <w:rPr>
                <w:rtl w:val="0"/>
              </w:rPr>
              <w:t xml:space="preserve">. Pēc pozitīva Eiropas Komisijas viedokļa par Atveseļošanas un noturības mehānisma fonda plāna grozījumiem saņemšanas un līdz Eiropas Komisijas lēmumam par Atveseļošanas fonda finansējuma pieejamību  finansējumu 3 903 507 </w:t>
            </w:r>
            <w:r w:rsidR="00000000" w:rsidRPr="00000000" w:rsidDel="00000000">
              <w:rPr>
                <w:i w:val="1"/>
                <w:rtl w:val="0"/>
              </w:rPr>
              <w:t xml:space="preserve">euro </w:t>
            </w:r>
            <w:r w:rsidR="00000000" w:rsidRPr="00000000" w:rsidDel="00000000">
              <w:rPr>
                <w:rtl w:val="0"/>
              </w:rPr>
              <w:t xml:space="preserve">apmērā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projekta 10.punktu investīcijas otrās kārtas Atveseļošanas fonda finansējums ir 64  849 510 euro un pēc Eiropas Komisijas lēmuma par papildu Atveseļošanas fonda finansējuma pieejamību investīcijas otrās kārtas Atveseļošanas fonda finansējums ir 68  753 017 euro. Pēc pozitīva Eiropas Komisijas viedokļa par Atveseļošanas un noturības mehānisma fonda plāna grozījumiem saņemšanas un līdz Eiropas Komisijas lēmumam par Atveseļošanas fonda finansējuma pieejamību  finansējumu 3 903 507 euro apmērā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uz projektu iesniegumu iesniegšanas brīdi būs jānorāda arī valsts budžeta finansējums, lūdzam anotācijas projektā sniegt informāciju, kāda valsts budžeta finansējuma daļa (euro) ir plānota vienas ēkas izveidei -  1 273 204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otrās kārtas Atveseļošanas fonda finansējums ir 64  849 510 </w:t>
            </w:r>
            <w:r w:rsidR="00000000" w:rsidRPr="00000000" w:rsidDel="00000000">
              <w:rPr>
                <w:i w:val="1"/>
                <w:rtl w:val="0"/>
              </w:rPr>
              <w:t xml:space="preserve">euro </w:t>
            </w:r>
            <w:r w:rsidR="00000000" w:rsidRPr="00000000" w:rsidDel="00000000">
              <w:rPr>
                <w:rtl w:val="0"/>
              </w:rPr>
              <w:t xml:space="preserve">un pēc Eiropas Komisijas lēmuma par papildu Atveseļošanas fonda finansējuma pieejamību investīcijas otrās kārtas Atveseļošanas fonda finansējums ir 68  753 017 </w:t>
            </w:r>
            <w:r w:rsidR="00000000" w:rsidRPr="00000000" w:rsidDel="00000000">
              <w:rPr>
                <w:i w:val="1"/>
                <w:rtl w:val="0"/>
              </w:rPr>
              <w:t xml:space="preserve">euro</w:t>
            </w:r>
            <w:r w:rsidR="00000000" w:rsidRPr="00000000" w:rsidDel="00000000">
              <w:rPr>
                <w:rtl w:val="0"/>
              </w:rPr>
              <w:t xml:space="preserve">. Pēc pozitīva Eiropas Komisijas viedokļa par Atveseļošanas un noturības mehānisma fonda plāna grozījumiem saņemšanas un līdz Eiropas Komisijas lēmumam par Atveseļošanas fonda finansējuma pieejamību  finansējumu 3 903 507 </w:t>
            </w:r>
            <w:r w:rsidR="00000000" w:rsidRPr="00000000" w:rsidDel="00000000">
              <w:rPr>
                <w:i w:val="1"/>
                <w:rtl w:val="0"/>
              </w:rPr>
              <w:t xml:space="preserve">euro </w:t>
            </w:r>
            <w:r w:rsidR="00000000" w:rsidRPr="00000000" w:rsidDel="00000000">
              <w:rPr>
                <w:rtl w:val="0"/>
              </w:rPr>
              <w:t xml:space="preserve">apmērā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izdalīt noteikumu projekta 10. punkta otro teikumu kā jaunu punktu ņemot vērā, ka otrais teikums nosaka papildus finansējumu, kas nav Atveseļošanas fonda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otrās kārtas Atveseļošanas fonda finansējums ir 64  849 510 </w:t>
            </w:r>
            <w:r w:rsidR="00000000" w:rsidRPr="00000000" w:rsidDel="00000000">
              <w:rPr>
                <w:i w:val="1"/>
                <w:rtl w:val="0"/>
              </w:rPr>
              <w:t xml:space="preserve">euro </w:t>
            </w:r>
            <w:r w:rsidR="00000000" w:rsidRPr="00000000" w:rsidDel="00000000">
              <w:rPr>
                <w:rtl w:val="0"/>
              </w:rPr>
              <w:t xml:space="preserve">un pēc Eiropas Komisijas lēmuma par papildu Atveseļošanas fonda finansējuma pieejamību investīcijas otrās kārtas Atveseļošanas fonda finansējums ir 68  753 017 </w:t>
            </w:r>
            <w:r w:rsidR="00000000" w:rsidRPr="00000000" w:rsidDel="00000000">
              <w:rPr>
                <w:i w:val="1"/>
                <w:rtl w:val="0"/>
              </w:rPr>
              <w:t xml:space="preserve">euro</w:t>
            </w:r>
            <w:r w:rsidR="00000000" w:rsidRPr="00000000" w:rsidDel="00000000">
              <w:rPr>
                <w:rtl w:val="0"/>
              </w:rPr>
              <w:t xml:space="preserve">. Pēc pozitīva Eiropas Komisijas viedokļa par Atveseļošanas un noturības mehānisma fonda plāna grozījumiem saņemšanas un līdz Eiropas Komisijas lēmumam par Atveseļošanas fonda finansējuma pieejamību  finansējumu 3 903 507 </w:t>
            </w:r>
            <w:r w:rsidR="00000000" w:rsidRPr="00000000" w:rsidDel="00000000">
              <w:rPr>
                <w:i w:val="1"/>
                <w:rtl w:val="0"/>
              </w:rPr>
              <w:t xml:space="preserve">euro </w:t>
            </w:r>
            <w:r w:rsidR="00000000" w:rsidRPr="00000000" w:rsidDel="00000000">
              <w:rPr>
                <w:rtl w:val="0"/>
              </w:rPr>
              <w:t xml:space="preserve">apmērā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kopējo pasākumam pieejamo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noteikto atbalstāmo darbību īstenošanai vienas ēkas izveidei Atveseļošanas fonda finansējums nepārsniedz 1 273 204 </w:t>
            </w:r>
            <w:r w:rsidR="00000000" w:rsidRPr="00000000" w:rsidDel="00000000">
              <w:rPr>
                <w:i w:val="1"/>
                <w:rtl w:val="0"/>
              </w:rPr>
              <w:t xml:space="preserve">euro</w:t>
            </w:r>
            <w:r w:rsidR="00000000" w:rsidRPr="00000000" w:rsidDel="00000000">
              <w:rPr>
                <w:rtl w:val="0"/>
              </w:rPr>
              <w:t xml:space="preserve">. Pievienotās vērtības nodokļa izmaksas un izmaksas investīcijas otrās kārtas projekta atbalstāmo darbību īstenošanai, ja tās pārsniedz investīcijas otrās kārtas projektam pieejamo Atveseļošanas fonda finansējumu, sedz no finansējuma saņēmēja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noteikumu projekta 12. punkta otro teikumu kā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sagatavo un iesniedz vadības informācijas sistēmā vienu investīcijas otrās kārtas projekta iesniegumu. Projekta iesnieguma sagatavošanai paredz ne mazāk kā 60 darbdienas.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MK noteikumu 7.1.apakšpunktu  līdz 2023. gada 31. decembrim jānoslēdz  17 līgumus par projekta īstenošanu, kā arī ņemot vērā projektu iesniegumu vērtēšanas un nepieciešamo projektu iesniegumu precizējumu sagatavošanas laiku, lūdzam pārskatīt un pēc nepieciešamības precizēt MK noteikumu projekta 17.punktā noteikto projekta iesnieguma sagatavošanās termiņu -  ne mazāk kā 60 darbdienas. Lūdzam papildus, izvērtēt un informāciju par projekta iesnieguma sagatavošanas termiņiem iekļaut anotācijā  nevis MK noteikumu projektā, paredzot, ka informācija tiks skaņota atlases laika  grafika skaņošanas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sagatavo un iesniedz vadības informācijas sistēmā vienu investīcijas otrās kārtas projekta iesniegumu. Projekta iesnieguma sagatavošanai paredz ne mazāk kā 60 darbdienas.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 punkta otro teikumu nosakot precīzu termiņu kādā jāiesniedz projekta iesniegumus Kohēzijas politikas vadības informācijas sistēmā. Papildus lūdzam izvērtēt un nepieciešamības gadījumā otro teikumu izdalīt kā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priekšroka ir tam projekta iesniegumam, kas ieguvis vairāk punktu par šo noteikumu ​pielikumā minēto: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20.1.apakšpunkts dublē 20.punkta pēdējo teikuma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ja ir vienāds šo noteikumu pielikuma 3.11. kvalitātes kritērija vērtējums, ņem vērā šo noteikumu pielikuma 3.10. kvalitātes kritērija vērtējumu. Ja ir vienāds šo noteikumu pielikuma 3.10. kvalitātes kritērija vērtējums, ņem vērā šo noteikumu pielikuma 3.5. kvalitātes kritērija vērtējumu. Ja ir vienāds šo noteikumu pielikuma 3.5. kvalitātes kritērija vērtējums, ņem vērā šo noteikumu pielikuma 3.6. kvalitātes kritērija vērtējumu. Ja ir vienāds šo noteikumu pielikuma 3.6. kvalitātes kritērija vērtējums, ņem vērā šo noteikumu pielikuma 3.7. kvalitātes kritērija 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veikta atklāta projektu iesniegumu atlase, kā rezultātā var veidoties situācija, kad finansējums nebūs pietiekams visiem projektu iesniegumiem. Ierosinām, sākotnēji izvērtēt kvalitātes kritērijus un gadījumā, ja projekta iesniegumam pēc sarindošanas, atbilstoši MK noteikumu 20.2.apakšpunktā noteiktajai secībai, nepietiek finansējuma, tad tā vērtēšanu neturpināt (šajā situācijā  atbilstības kritēriji netiek vērtēti).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Pēc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minētās investīcijas otrās kārtas projektu iesniegumu sarindošanas,  vienāda punktu skaita gadījumā priekšroka ir tam investīcijas otrās kārtas projekta iesniegumam, kas  informācijas vadības informācijas sistēmā iesniegts ātrāk.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pēc nepieciešamības precizēt MK noteikumu projekta 21.punktu, t.i., izvērtēt  iespēju  sniegt atbalstu nevis projektam, kas iesniegts ātrāk, bet izvērtēt, piemēram, izmaksu efektivitāti. Piemēram, priekšroka ir projektam ar mazākām attiecināmajām izmaksas uz 1 senioru/personu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Gadījumā, ja izveidojas pieejamā Atveseļošanas fonda finansējuma atlikums, kas nav pietiekams secīgi nākamā kvalitatīvā investīcijas otrās kārtas projekta iesnieguma atbalstīšanai vai attiecīgais projekta iesniedzējs atsakās īstenot projektu ar samazinātu Atveseļošanas fonda finansējumu, tad atlikušo Atveseļošanas fonda finansējumu izmanto, lai atbalstītu nākamo investīcijas otrās kārtas projekta iesniegumu ar augstāko punktu skaitu atbilstoši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anotāciju, sniedzot skaidrojumu par MK noteikumu 22.punkta piemērošanu, gadījumā, ja Atveseļošanas fonda finansējums nav pietiekams, lai atbalstītu projektā plānoto ēku skaitu, t.i.,  vai šajā situācijā projekta iesniedzējam būs iespējams samazināt sākotnēji  plānoto ēku skaitu, vai attiecīgi būs jānodrošina ēku skaits sākotnēji plānotā apmēru, papildus nepieciešamo finansējumu sedzot no sevis. Piemēram, projektā no AF finansējuma plānotas 3 ēkas, savukārt AF finansējuma atlikums ir pieejams tikai 2 ēkām.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Aģentūra, pamatojoties uz projektu iesniegumu vērtēšanas komisijas sniegto atzinumu un ievērojot projekta iesniedzēja juridisko statusu, pieņem lēmumu par projekta apstiprināšanu, apstiprināšanu ar nosacījumu vai noraidīšanu.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vārdus "un ievērojot projekta iesniedzēja juridisko statusu" ņemot vērā, ka pieņemot lēmumu par projekta apstiprināšanu, apstiprināšanu ar nosacījumu vai noraidīšanu nav nozīmes projekta iesniedzēja juridiskajam statusam. Projekta iesniedzēja juridiskais statuss ir svarīgs nākamajā posmā, kad tiek slēgta vienošanās, vai līgums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Lēmumu par projekta iesnieguma apstiprināšanu ar nosacījumu pieņem, ja projekta iesniedzējam jāveic aģentūras noteiktās darbības, lai nodrošinātu investīcijas otrās kārtas projekta iesnieguma atbilstību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noteiktajiem atbilstības un kvalitātes kritērijiem. Ja kāds no lēmumā noteiktajiem nosacījumiem netiek izpildīts vai netiek izpildīts lēmumā noteiktajā termiņā, investīcijas otrās kārtas projekta iesniegums uzskatāms par noraidītu. Savukārt, ja nosacījumi tiek izpildīti, aģentūra izdod atzinumu par lēmumā noteikto nosacījumu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20.punkta izriet, ka kvalitātes kritēriju uzdevums atklātā atlasē ir piedalīties ranžēšanā un atbalstīt labāk sagatavotos projektus (punktu skaits). Ņemot vērā 20.punktā noteikto un noteikumu projekta 1.pielikumā ietverto kvalitātes kritēriju nozīmi un atspoguļojumu, ir saskatāma līdzība ar 2014.-2020.gada plānošanas perioda praksi (4.1.metodika, kur kvalitātes kritēriji pēc to jēgas un mērķa nav precizējami).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ņemot vērā, ka kvalitātes kritēriji šajā AF investīcijā noteikti kā precizējami izsakām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Apsverams, vai šajā vietā tekstā nebūtu papildināms ar piezīmi, ka nosacījumus var izdot pret tiem kvalitātes kritērijiem, kuros nav sasniegts minimālais punktu skaits (..un kvalitātes kritērijiem, kuros nepieciešams saņemt minimālo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būtības apsverams, vai tiek nodrošināta objektivitāte un vienlīdzīga sacensība kvalitātes kritērijos, kur ir amplitūda starp maksimāli un minimāli iegūstamo punktu skaitu. Piemēram, 3.9. kvalitātes kritērijs. Proti, projekta iesniedzējam, kurš nav sasniedzis minimālo punktu skaitu 3.9.kvalitātes kritērijā, caur precizējumiem tiktu ļauts gūt priekšrocību iegūt vairāk punktus pret projekta iesniedzēju, kurš sākotnēji būs sasniedzis minimālo punktu skaitu bez iespējas vēlāk papildināt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nolūkā var veikt piezīmi, ka pret kvalitātes kritēriju var izvirzīt nosacījumus, lai projekts sasniegtu minimālo punktu skaitu kritērijā (ne vairāk).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investīcijas otrās kārtas projekta iesniegums neatbilst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noteiktajiem atbilstības vai kvalitātes kritērijiem un nepilnības novēršana ietekmētu projekta iesniegumu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apsvērt, vai 26.2.apakšpunkts vai vismaz piebilde tajā "nepilnības novēršana ietekmētu projekta iesniegumu pēc būtības" nav lieka, ņemot vērā 1.pielikumā šobrīd paredzēto, ka visi kritēriji ir precizējami (proti, nav noteikti neprecizējumi kritēriji, kuros nepilnības novēršana ietekmē projektu pēc būtības) un projekts neatbilstības gadījumā tiek noraidīts saskaņā ar 25.punkta pēdējo teikumu. Lūgums skaidrot 26.2.apakšpunkta piemērojamību.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investīcijas otrās kārtas projekta iesniegums neatbilst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noteiktajiem atbilstības vai kvalitātes kritērijiem un nepilnības novēršana ietekmētu projekta iesniegumu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26.2. apakšpunktā sniegto informāciju, ka lēmumu par projekta iesnieguma noraidīšanu pieņem, ja  investīcijas otrās kārtas projekta iesniegums neatbilst MK noteikumu 1. pielikumā noteiktajiem atbilstības vai kvalitātes kritērijiem un nepilnības novēršana ietekmētu projekta iesniegumu pēc būtības. Lūdzam papildināt anotācijas projektu sniedzot skaidrojumu  kādos gadījumos projektu iesniegums mainītos pēc būtības . Piemēram, tiktu iekļautas papildu atbalstāmās darbības un papildu izmaksas vai gluži pretēji – svītrotas, ja iesniegtais projekta iesniegums vispār neatbilst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Investīcijas otrās kārtas projekta īstenošanai aģentūra pēc tam, kad stājies spēkā lēmums par projekta iesnieguma apstiprināšanu vai atzinums par lēmumā noteikto nosacījumu izpildi, slēdz līgumu ar finansējuma saņēmēju. Pirms līguma noslēgšanas finansējuma saņēmējs vai aģentūra var precizēt investīcijas otrās kārtas projekta iesniegumā norādīto informāciju, ja tā nav aktuāla, pēc būtības nemainot projekta iesniegumu. Līgumā iekļauj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13. punktā definētos projekta iesniedzējus, lūdzam precizēt noteikumu projekta 28. punktu un turpmākos, kur tas attiecināms, ka tiek slēgta vienošanās, vai līgums par projekta īstenošanu (atkarībā no projekta iesniedzēja juridiskā statusa).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28.8. ģimeniskai videi pietuvinātu pakalpojumu nodrošināšanas principi pensijas vecuma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28.8. apakšpunktu vai arī papildus noteikt, ka šajā apakšpunktā minētos principus izstrādās Labklājības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Investīcijas otrās kārtas projekta iesnieguma apstiprināšanas un līguma noslēgšanas gadījumā šo noteikumu </w:t>
            </w:r>
            <w:r w:rsidR="00000000" w:rsidRPr="00000000" w:rsidDel="00000000">
              <w:rPr>
                <w:rtl w:val="0"/>
              </w:rPr>
              <w:t xml:space="preserve">30.</w:t>
            </w:r>
            <w:r w:rsidR="00000000" w:rsidRPr="00000000" w:rsidDel="00000000">
              <w:rPr>
                <w:rtl w:val="0"/>
              </w:rPr>
              <w:t xml:space="preserve">  punktā minētās izmaksas ir attiecināmas no 2023. gada 10. marta. To investīcijas otrās kārtas atbalstāmo darbību  izmaksas, kuru īstenošana pabeigta līdz 2023. gada 9. martam, nav attiecināmas finansēšanai no Atveseļošanas fonda. Projekta iesnieguma iesniegšana vadības informācijas sistēmā negarantē Atveseļošanas fonda finansējuma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noteikumu projekta 32. punktā minēto izmaksu attiecināmības sākuma datumu (2023. gada  10. marts) ar anotācijas 1.3.sadaļas 17. lapā minēto sākuma datumu starpposma maksājumam izmaksu kompensēšanai (2022. gada 1. decembris).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Investīcijas otrās kārtas projekta īstenošanai un uzraudzībai nepieciešamās informācijas iesniegšanu nodrošina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34.punktu, norādot subjektu, kuram attiecīgais pienākums būs jānodrošina.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36.2.1. finansējuma saņēmējs sagatavo pieprasījumu starpposma maksājumam, kurā pamato investīcijas otrās kārtas projektā faktiski veiktās izmaksas un starpposma maksājuma apmēru. Pieprasījumu starpposma maksājumam finansējuma saņēmējs var iesniegt arī laikposmā, kad finansējuma saņēmējs izmanto šo noteikumu </w:t>
            </w:r>
            <w:r w:rsidR="00000000" w:rsidRPr="00000000" w:rsidDel="00000000">
              <w:rPr>
                <w:rtl w:val="0"/>
              </w:rPr>
              <w:t xml:space="preserve">36.1.1. </w:t>
            </w:r>
            <w:r w:rsidR="00000000" w:rsidRPr="00000000" w:rsidDel="00000000">
              <w:rPr>
                <w:rtl w:val="0"/>
              </w:rPr>
              <w:t xml:space="preserve">apakšpunktā</w:t>
            </w:r>
            <w:r w:rsidR="00000000" w:rsidRPr="00000000" w:rsidDel="00000000">
              <w:rPr>
                <w:rtl w:val="0"/>
              </w:rPr>
              <w:t xml:space="preserve"> minēto avansa maksājumu, bet ne biežāk kā reizi ceturksnī;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36.2.1.apakšpunktā frāzi "bet ne biežāk kā reizi ceturksnī", jo minētais termiņš tiek regulēts līguma (vienošanās) par Eiropas Savienības Atveseļošanas fonda projekta ieviešanu vispārīgajos noteikumos, kur ir noteikts, ka "finansējuma saņēmējs iesniedz starpposma progresa pārskatu par katriem sešiem projekta &lt;īstenošanas/kalendārajiem&gt;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36.2.2. aģentūra pārbauda šo noteikumu </w:t>
            </w:r>
            <w:r w:rsidR="00000000" w:rsidRPr="00000000" w:rsidDel="00000000">
              <w:rPr>
                <w:rtl w:val="0"/>
              </w:rPr>
              <w:t xml:space="preserve">36.2.1. </w:t>
            </w:r>
            <w:r w:rsidR="00000000" w:rsidRPr="00000000" w:rsidDel="00000000">
              <w:rPr>
                <w:rtl w:val="0"/>
              </w:rPr>
              <w:t xml:space="preserve">apakšpunktā</w:t>
            </w:r>
            <w:r w:rsidR="00000000" w:rsidRPr="00000000" w:rsidDel="00000000">
              <w:rPr>
                <w:rtl w:val="0"/>
              </w:rPr>
              <w:t xml:space="preserve"> minēto pieprasījumu starpposma maksājumam un, ja aģentūrai nav iebildumu par starpposma maksājuma pamatojumu, veic starpposma maksājumu;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noteikt termiņu kādā tiek izvērtēts avansa maksājuma pieprasījums un veikts maksājums. Attiecīgu precizējumu aicinām veikt arī noteikumu projekta 36.2.2.apakšpunktā.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36.3.2. aģentūra pārbauda šo noteikumu </w:t>
            </w:r>
            <w:r w:rsidR="00000000" w:rsidRPr="00000000" w:rsidDel="00000000">
              <w:rPr>
                <w:rtl w:val="0"/>
              </w:rPr>
              <w:t xml:space="preserve">36.3.1. </w:t>
            </w:r>
            <w:r w:rsidR="00000000" w:rsidRPr="00000000" w:rsidDel="00000000">
              <w:rPr>
                <w:rtl w:val="0"/>
              </w:rPr>
              <w:t xml:space="preserve">apakšpunktā</w:t>
            </w:r>
            <w:r w:rsidR="00000000" w:rsidRPr="00000000" w:rsidDel="00000000">
              <w:rPr>
                <w:rtl w:val="0"/>
              </w:rPr>
              <w:t xml:space="preserve"> minēto noslēguma maksājuma pieprasījumu un, ja aģentūrai nav iebildumu par noslēguma maksājuma pamatojumu, veic noslēguma maksājumu, ko veido starpība starp projektam pieejamo kopējo Atveseļošanas fonda finansējuma apmēru un avansa maksājuma un starpposma maksājumu kopsummu;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36.3.2. apakšpunktā palīgteikumu "ko veido starpība starp projektam pieejamo kopējo Atveseļošanas fonda finansējuma apmēru un avansa maksājuma un starpposma maksājumu kopsummu", jo līdz šim praksē citos Ministru kabineta noteikumos par Eiropas savienības fondu projekta īstenošanu nav aprakstīts noslēguma maksājuma aprēķināšanas algoritms, ņemot vērā to, ka to reglamentē CFLA iekšējie noteikumi, vai arī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 veido starpība starp projekta kopējo attiecināmo finansējuma apmēru un avansa maksājuma un starpposma maksājumu kopsummu"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aģentūra, veicot avansa un starpposma maksājumus, nodrošina, ka finansējuma saņēmējam veikto avansa un starpposma maksājumu kopsumma nepārsniedz 90 procentus no projektam pieejamā Atveseļošanas fonda finansējuma apmēra un tas ir jāizmanto sešu mēnešu laikā no tā saņemšanas dienas. Avansa izmantošanas termiņu var pagarināt, iesniedzot aģentūrai pamatojumu termiņa pagarināšanai;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36.4.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šo noteikumu 36.1. apakšpunktā minētā avansa un šo noteikumu 36.2. apakšpunktā minētā starpposma maksājumu kopsumma nevar pārsniegt 90 procentus no kopējā projekta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Ģimeniskai videi pietuvināta pakalpojuma sniegšanas ēku izveidi plāno uz zemes īpašuma, kas ir finansējuma saņēmēja īpašumā vai finansējuma saņēmējam ir Valsts vienotajā datorizētajā zemesgrāmatā nostiprinātas lietošanas tiesības ne vēlāk kā līdz 2031. gada 31.decembrim.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37.punktā, lai neveidotos interpretācijas iespējas, lūdzam pārskatīt un  precizēt informāciju par lietošanās termiņu. Piemērām, ne mazāk kā līdz 2031.gada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29.4. </w:t>
            </w:r>
            <w:r w:rsidR="00000000" w:rsidRPr="00000000" w:rsidDel="00000000">
              <w:rPr>
                <w:rtl w:val="0"/>
              </w:rPr>
              <w:t xml:space="preserve">apakšpunktā</w:t>
            </w:r>
            <w:r w:rsidR="00000000" w:rsidRPr="00000000" w:rsidDel="00000000">
              <w:rPr>
                <w:rtl w:val="0"/>
              </w:rPr>
              <w:t xml:space="preserve"> minēto atbalstāmo darbību īstenošanai var piesaistīt vides pieejamības ekspertus šo noteikumu </w:t>
            </w:r>
            <w:r w:rsidR="00000000" w:rsidRPr="00000000" w:rsidDel="00000000">
              <w:rPr>
                <w:rtl w:val="0"/>
              </w:rPr>
              <w:t xml:space="preserve">29.5. </w:t>
            </w:r>
            <w:r w:rsidR="00000000" w:rsidRPr="00000000" w:rsidDel="00000000">
              <w:rPr>
                <w:rtl w:val="0"/>
              </w:rPr>
              <w:t xml:space="preserve">apakšpunktā</w:t>
            </w:r>
            <w:r w:rsidR="00000000" w:rsidRPr="00000000" w:rsidDel="00000000">
              <w:rPr>
                <w:rtl w:val="0"/>
              </w:rPr>
              <w:t xml:space="preserve"> ​​​​​​​minētās atbalstāmās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pārformulēt 38.3. apakšpunkta redakciju, lai uzlabotu tā uztveramību.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šo noteikumu 29.5. apakšpunktā minētās atbalstāmās darbības ietvaros var piesaistīt vides pieejamības ekspertus šo noteikumu  29.1., 29.2. un 29.4. apakšpunktā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šo noteikumu  </w:t>
            </w:r>
            <w:r w:rsidR="00000000" w:rsidRPr="00000000" w:rsidDel="00000000">
              <w:rPr>
                <w:rtl w:val="0"/>
              </w:rPr>
              <w:t xml:space="preserve">29.4. </w:t>
            </w:r>
            <w:r w:rsidR="00000000" w:rsidRPr="00000000" w:rsidDel="00000000">
              <w:rPr>
                <w:rtl w:val="0"/>
              </w:rPr>
              <w:t xml:space="preserve">apakšpunktā</w:t>
            </w:r>
            <w:r w:rsidR="00000000" w:rsidRPr="00000000" w:rsidDel="00000000">
              <w:rPr>
                <w:rtl w:val="0"/>
              </w:rPr>
              <w:t xml:space="preserve"> minētās atbalstāmās darbības īstenošanai veic telpu aprīkošanai nepieciešamā materiāltehniskā nodrošinājuma iegādi, tai skaitā mēbeļu, datoru, datora lietojumprogrammu, tehnisko palīglīdzekļu un citu nepieciešamo ierīču un materiālu iegādi pakalpojuma nodrošināšanai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minētajām mērķa grupas personām, nodrošinot vismaz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noteikto materiāltehniskā aprīkojuma iegādi;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38.4. apakšpunktā vārdu "noteikto" aizvietot ar vārdu "noteiktā".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39.2.2. parakstījuši apliecinājumus par pienākumu ziņot par konstatētajiem vai iespējamajiem trūkumiem un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39.2.2. apakšpunktu, ka ir parakstīts apliecinājums par interešu konflikta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39.7. iepirkumu līgumos avansa maksājumus var paredzēt ne vairāk kā 50 procentu  apmērā no attiecīgā līguma 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noteikt 39.7. apakšpunktā noteikto ierobežojumu un apakšpunktu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39.15. nodrošina informācijas un publicitātes pasākumus saskaņā ar Eiropas Parlamenta un Padomes Regulas (ES) 2021/241 (2021. gada 12. februāris), ar ko izveido Atveseļošanas un noturības mehānismu  34. panta 2. punktu un 2021. gada 3. septembrī parakstītā Komisijas un Latvijas Republikas Atveseļošanas un noturības mehānisma finansēšanas nolīguma 10. pantu, kā arī normatīvajos aktos par Atveseļošanas fonda plāna īstenošanas un uzraudzības kārtību noteiktās publicitātes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"kā arī normatīvajos aktos par Atveseļošanas fonda plāna īstenošanas un uzraudzības kārtību noteiktās publicitātes prasības.". Vēršam uzmanību, ka publicitātes prasības ir noteiktas Eiropas Savienības fondu 2021.–2027. gada plānošanas perioda un Atveseļošanas fonda komunikācijas un dizaina vadlīnijās.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finansējuma saņēmējs iesniedz projekta, plānoto progresa pārskatu grafika vai plānoto iepirkumu plāna grozījumu priekšlikumu;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40.1.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vārdu "aktualizētu" pirms vārda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vārdu "precizētu" pēc vārda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svītrot vārdus "grozījumu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plānotais progresa pārskata iesniegšanas grafiks netiek grozīts, bet tiek aktualizēts un iesniegts jaunā redakcijā, savukārt  iepirkuma plāns tiek aktualizēts precizējot, bet netiek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finansējuma saņēmējs iesniedz aktualizētu projekta, plānoto progresa pārskatu grafiku vai precizētu plānoto iepirkumu plānu;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aģentūra iesniegto projekta grozījumu lietderību, pamatotību un nepieciešamību pārbauda 20 darbdienu laikā no grozījumu priekšlikuma saņemšanas dienas, bet plānoto progresa pārskatu iesniegšanas grafika vai iepirkumu plāna grozījumus pieņem zināšanai vai piecu darbdienu laikā no to saņemšanas dienas informē finansējuma saņēmēju par nepieciešamajiem precizējumiem, nosakot arī termiņu precizējumu iesniegšanai;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40.2. apakšpunktu izteikt piedāvātajā redakcijā ņemot vērā, ka plānotais progresa pārskatu iesniegšanas grafiks netiek grozīts, bet tiek aktualizēts un iesniegts jaunā redakcijā, savukārt iepirkuma plāns tiek aktualizēts precizējot, bet netiek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aģentūra iesniegto projekta grozījumu lietderību, pamatotību un nepieciešamību pārbauda 20 darbdienu laikā no grozījumu priekšlikuma saņemšanas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izstrādā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 projektu iesniegumu vērtēšanas kritēriju piemērošanas skaidrojumus un iekļauj tos vadības informācijas sistēmā, sagatavojot projekta veidlapu;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noteikumu 43.1. apakšpunktu nosakot, ka MK noteikumu 1.pielikuma noteikto projektu iesniegumu atbilstības un kvalitātes kritērijiem piemērošanas skaidrojumus izstrādās LM, nodrošinot piemērošanas skaidrojumu iesniegšanu CFLA iekļaušanai projektu iesniegumu atlases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Investīcijas otrās kārtas projektu īsteno līdz 2025.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MK noteikumu 7.2. apakšpunktu līdz 2026. gada 30. jūnijam jānodrošina  852 senioriem tādu ilgtermiņa aprūpes pakalpojumu saņemšanai, kas pietuvināti ģimeniskai videi. Lūdzam pārskatīt un pēc nepieciešamības precizēt informāciju par projektu īstenošanas termiņu, vai anotācijas projektā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Investīcijas otrās kārtas projektu īsteno līdz 2025.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datumu, vēršam uzmanību, ka noteikumu projekta 7.2. apakšpunktā ir minēts, ka līdz 2026. gada 30. jūnijam tiek sasniegti mērķrādītāji.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kvalitātes kritēriji Nr. 3.3., 3.4., 3.8. būtu </w:t>
            </w:r>
            <w:r w:rsidR="00000000" w:rsidRPr="00000000" w:rsidDel="00000000">
              <w:rPr>
                <w:rtl w:val="0"/>
              </w:rPr>
              <w:t xml:space="preserve">definējams kā citādi, piemēram, kā specifiskais atbilstības kritēriji, ņemot vērā, ka maksimālais iegūstamo punktu skaits sakrīt ar nepieciešamo minimālo punktu skaitu, un </w:t>
            </w:r>
            <w:r w:rsidR="00000000" w:rsidRPr="00000000" w:rsidDel="00000000">
              <w:rPr>
                <w:rtl w:val="0"/>
              </w:rPr>
              <w:t xml:space="preserve">ja konkrētiem apakšnosacījumiem obligāti un precīzi jāizpildās.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Kvalitātes kritēriji, ja to vērtējumu izteic punktos, pēc jēgas piedalās ranžējumā, lai sarindotu labākos projektus. Ja projekta iesniedzējiem vērtējums nekādos apstākļos nevar atšķirties, konkrētais kvalitātes kritērijs šajā uzdevumā būtībā nepiedalās (nav ietekmes). Kritērijs piedālās tikai atsijāšanā, kā to dara citi kritēriji (atbilstības) neatbilstības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specifisko atbilstības kritēriju Nr. 2.1. paredzēt kā neprecizējumu, pēc nepieciešamības vērtēšanas kritēriju piemērošanas metodikā nosakot precizēšanas izņēmumus, jo šis kritērijs savā saturā šķietami ir neprecizējams.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pie atbilstības kritērijiem skaidrojošajā daļā "Kritēriju ietekme uz lēmuma pieņemšanu (P, N)" burtu "N", jo visi atbilstības kritēriji šobrīd ir precizējami.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3.9.2.apakškritēriju pārveidot par specifiskās atbilstības kritēriju, ņemot vērā MK noteikumu projektā noteiktās prasības attiecībā uz īpašumtiesībām.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noteikumu 1.pielikumā atbilstības kritērija Nr. 2.2. (nodokļu parādu statuss) atsauces Nr. 6 redakciju, t.i.,  neparedzēt nodokļu pārbaudi pirms līguma noslēgšanas, jo tas vairs neattiecās uz projekta iesnieguma vērtēšanas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izslēgšanas kritēriju  Nr. 1.1., sniedzot skaidrojumu, kuriem projektu iesniedzējiem atbilstoši to  juridiskajām statusam ( pašvaldība, pašvaldības iestāde, pašvaldības kapitālsabiedrība vai pašvaldības kontrolēta kapitālsabiedrība) tiek piemērots kritērijs.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noteikumu 1.pielikumā izslēgšanas kritērijam Nr. 1.1. atsauces Nr. 3. redakciju attiecībā uz atbilstības kritērija Nr. 2.6. vērtēšanu, t.i., norādot  atbilstības kritēriju Nr. 2.2. (nodokļu parādu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noteikumu anotācijā sniegto informāciju </w:t>
            </w:r>
            <w:r w:rsidR="00000000" w:rsidRPr="00000000" w:rsidDel="00000000">
              <w:rPr>
                <w:i w:val="1"/>
                <w:rtl w:val="0"/>
              </w:rPr>
              <w:t xml:space="preserve">“Kvalitātes kritērijus un to piemērošanas skaidrojumus izstrādās LM, nodrošinot arī piemērošanas skaidrojumu iesniegšanu CFLA iekļaušanai projektu iesniegumu atlases nolikumā.”</w:t>
            </w:r>
            <w:r w:rsidR="00000000" w:rsidRPr="00000000" w:rsidDel="00000000">
              <w:rPr>
                <w:rtl w:val="0"/>
              </w:rPr>
              <w:t xml:space="preserve">, paredzot , ka arī atbilstības kritērijus un to skaidrojumus izstrādā LM.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anotācijā norādīts, ka CFLA atklātu projektu iesniegumu atlasi izsludinās 20 darba dienu laikā pēc MK  noteikumu spēkā stāšanās. Lai izvairītos no situācijas, kad projektu iesniegumu atlasi nebūs iespējams izsludināt no CFLA  neatkarīgo apstākļu dēļ 20 darba dienu laikā, aicinām no anotācijas dzēst norādīto atlases izsludināšanas termiņu 20 darba dienu laikā pēc noteikumu stāšanās spēkā.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19.04.2023. 21.07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19.04.2023. 21.07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Atzinumi_22-TA-3345.docx</dc:title>
</cp:coreProperties>
</file>

<file path=docProps/custom.xml><?xml version="1.0" encoding="utf-8"?>
<Properties xmlns="http://schemas.openxmlformats.org/officeDocument/2006/custom-properties" xmlns:vt="http://schemas.openxmlformats.org/officeDocument/2006/docPropsVTypes"/>
</file>