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2025. gada 12. novembra piemērojamā Eiropas Parlamenta un Padomes Regula (ES) 2024/1309 (2024. gada 29. aprīlis) par gigabitisku elektronisko sakaru tīklu ierīkošanas izmaksu samazināšanas pasākumiem, Regulas (ES) 2015/2120 grozīšanu un Direktīvas 2014/61/ES atcelšanu (turpmāk – Regula  2024/1309) paredz prasības ēkas iekšējai fiziskajai infrastruktūrai, lai būtu iespējams nodrošināt ļoti augstas veiktspējas elektronisko sakaru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2024/1309 10. panta 1. punktu visas jaunceltnes un ēkas, kurās notiek </w:t>
            </w:r>
            <w:r w:rsidR="00000000" w:rsidRPr="00000000" w:rsidDel="00000000">
              <w:rPr>
                <w:b w:val="1"/>
                <w:rtl w:val="0"/>
              </w:rPr>
              <w:t xml:space="preserve">kapitālās renovācijas</w:t>
            </w:r>
            <w:r w:rsidR="00000000" w:rsidRPr="00000000" w:rsidDel="00000000">
              <w:rPr>
                <w:rtl w:val="0"/>
              </w:rPr>
              <w:t xml:space="preserve"> darbi, tostarp kopīpašumā esošajiem elementiem, par ko būvatļauju pieteikumi ir iesniegti pēc 2026. gada 12. februāra, aprīko ar optiskajai šķiedrai gatavu ēkas iekšējo fizisko infrastruktūru un ēkas iekšējo optiskās šķiedras instalāciju, tostarp savienojumiem līdz fiziskajam punktam, kurā galalietotājs pieslēdzas publiskajam tīklam. Savukārt Regulas 2024/1309 10. panta 2. punkts nosaka, ka visas daudzdzīvokļu jaunceltnes vai daudzdzīvokļu ēkas, kurās notiek </w:t>
            </w:r>
            <w:r w:rsidR="00000000" w:rsidRPr="00000000" w:rsidDel="00000000">
              <w:rPr>
                <w:b w:val="1"/>
                <w:rtl w:val="0"/>
              </w:rPr>
              <w:t xml:space="preserve">kapitālās renovācijas</w:t>
            </w:r>
            <w:r w:rsidR="00000000" w:rsidRPr="00000000" w:rsidDel="00000000">
              <w:rPr>
                <w:rtl w:val="0"/>
              </w:rPr>
              <w:t xml:space="preserve"> darbi, par ko būvatļauju pieteikumi ir iesniegti pēc 2026. gada 12. februāra, aprīko ar piekļuves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nepieciešamības gadījumā papildināt noteikumu projektu ar jēdzienu, kas atbilst Regulā 2024/1309 lietotajam jēdzienam </w:t>
            </w:r>
            <w:r w:rsidR="00000000" w:rsidRPr="00000000" w:rsidDel="00000000">
              <w:rPr>
                <w:b w:val="1"/>
                <w:rtl w:val="0"/>
              </w:rPr>
              <w:t xml:space="preserve">“kapitālā renovācija”</w:t>
            </w:r>
            <w:r w:rsidR="00000000" w:rsidRPr="00000000" w:rsidDel="00000000">
              <w:rPr>
                <w:rtl w:val="0"/>
              </w:rPr>
              <w:t xml:space="preserve">, vai arī sniegt attiecīgu skaidrojumu anotācijā, ievērojot Būvniecības likuma pārejas noteikumu 7. punktā noteikto, ka līdz grozījumu izdarīšanai normatīvajos aktos šajā likumā lietotais jēdziens "atjaunošana" atbilst jēdzienam "renovācija".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arī par to, kā tiks nodrošināta atbilstība attiecībā uz ēkas iekšējai infrastruktūrai Regulā 2024/1309 noteiktajām prasībām, tostarp tās 10. panta 5. punktam, kas paredz, ka dalībvalstis nodrošina atbilstību 10. panta 4. punktā minētajiem standartiem vai tehniskajām specifikācijām un lai pierādītu šādu atbilstību, </w:t>
            </w:r>
            <w:r w:rsidR="00000000" w:rsidRPr="00000000" w:rsidDel="00000000">
              <w:rPr>
                <w:b w:val="1"/>
                <w:rtl w:val="0"/>
              </w:rPr>
              <w:t xml:space="preserve">dalībvalstis izveido procedūras</w:t>
            </w:r>
            <w:r w:rsidR="00000000" w:rsidRPr="00000000" w:rsidDel="00000000">
              <w:rPr>
                <w:rtl w:val="0"/>
              </w:rPr>
              <w:t xml:space="preserve">, kas varētu ietvert ēku vai to reprezentatīva parauga pārbaudi uz vietas, kā arī Regulas 2024/1309 10. panta 8. punktam, kas paredz, ka  </w:t>
            </w:r>
            <w:r w:rsidR="00000000" w:rsidRPr="00000000" w:rsidDel="00000000">
              <w:rPr>
                <w:b w:val="1"/>
                <w:rtl w:val="0"/>
              </w:rPr>
              <w:t xml:space="preserve">dalībvalstis, balstoties uz pienācīgi pamatotiem un samērīgiem iemesliem, identificē to ēku veidus</w:t>
            </w:r>
            <w:r w:rsidR="00000000" w:rsidRPr="00000000" w:rsidDel="00000000">
              <w:rPr>
                <w:rtl w:val="0"/>
              </w:rPr>
              <w:t xml:space="preserve">, piemēram, īpašas pieminekļu kategorijas, vēsturiskas ēkas, militāras ēkas un ēkas, ko izmanto valsts drošības vajadzībām, kā noteikts valsts tiesību aktos, kuras ir jāatbrīvo no 1., 2. un 3. punktā paredzētajiem pienākumiem vai kurām šie pienākumi jāpiemēro ar pienācīgiem tehniskiem pielāgojumiem. </w:t>
            </w:r>
            <w:r w:rsidR="00000000" w:rsidRPr="00000000" w:rsidDel="00000000">
              <w:rPr>
                <w:b w:val="1"/>
                <w:rtl w:val="0"/>
              </w:rPr>
              <w:t xml:space="preserve">Informāciju par šādām ēku kategorijām publicē ar vienotā informācijas punkta starpniecību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Linde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LBN 200-21 regulē būvju un infrastruktūras projektēšanas prasības, savukārt AFIR regula kā tieši piemērojama ES regula nosaka publiski pieejamu uzlādes punktu ekspluatācijas, lietotāju tiesību un tirgus darbības prasības, Satiksmes ministrija rosina anotāciju papildināt ar skaidrojošu norādi, piemēram, sadaļā “Sabiedrības grupas, kuras tiesiskais regulējums ietekmē” vai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uzlādes punkts ir publiski pieejams Eiropas Parlamenta un Padomes 2023. gada 13. septembra regulas (ES) Nr. 2023/1804 par alternatīvo degvielu infrastruktūras ieviešanu izpratnē, uz to neatkarīgi no šo noteikumu prasībām ir tieši piemērojamas minētajā regulā noteiktās ekspluatācijas, lietotāju tiesību un tirgus darbības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12.02.2026.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12.02.2026.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