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Ainavu politikas ieviešanas plāns 2024. - 2027.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11.01.2024.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11.01.2024.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