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vai Komisijas Regula 2013.gada 18.decembra Regulu (ES) Nr. 1408/2013 par Līguma par Eiropas Savienības darbību 107. un 108. panta piemērošanu de minimis atbalstam lauksaimniecības nozarē (turpmāk – Komisijas regula Nr.  1408/2013) vai kā garantiju, kas šo noteikumu ietvaros tiek piešķirts investīciju projektiem drošības un aizsardzības jomā, nav kvalificējams kā komercdarbības atbalsts, un tam nav jāpiemēro šajos noteikumos ietvertie Komisijas regulas Nr. 2023/2831 un Komisijas regulas Nr. 1408/2013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2017. gada 5. septembra noteikumu Nr. 537 "Noteikumi par portfeļgarantijām sīko (mikro), mazo un vidējo saimnieciskās darbības veicēju – juridisko personu – kreditēšanas veicināšanai" (turpmāk – noteikumi) 8. punkta plānotajā redakcijā minētajiem investīciju projektiem drošības un aizsardzības jomā, skaidrojam, ka pasākumiem, kas saistīti tikai ar drošības un aizsardzības mērķi, komercdarbības atbalsta regulējuma nosacījumus nav jāpiemēro, jo gadījumā, ja publiskā finansējuma piešķiršana (jebkādā formā) saimnieciskās darbības veicējiem ir paredzēta to īstenotajām darbībām vienīgi militārajā jomā (atbilstoši Līguma par Eiropas Savienības darbību 346.panta 1.daļas (b) apakšpunktā noteiktajam),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 Komisijas paziņojuma par Līguma ar Eiropas Savienības darbību 107. panta 1. punktā minēto valsts atbalsta jēdzienu (2016/C 262/01) 17.punktu). Savukārt gadījumā, ja publisko finansējumu paredzēts piešķirt divējāda pielietojuma preču un tehnoloģiju jomā, tas būtu vērtējams kā saimniecisks projekts, kam, piešķirot publisko finansējumu, būtu jāpiemēro komercdarbības atbalsta regulējums. Līdz ar to lūdzam precizēt iepriekš minēto noteikumu projekta punktu, skaidri definējot, kādus projektus drošības un aizsardzības jomā ir plānots atbalstīt šo noteikumu ietvaros, proti, vai nu tādus, kas ir saistīti tikai ar darbībām militārajā jomā vai arī divējāda pielietojuma preču un tehnoloģiju jomā, kā arī atbilstoši precizēt anotācijas 1.3.sadaļā sniegto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nepieciešamības precizēt arī noteikumu plānoto 10.10.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militārajai vai divējāda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šajā punktā minētajiem projektiem militārajā jomā, lūdzam Ekonomikas ministriju (turpmāk – EM) papildināt anotāciju ar izvērstāku skaidrojumu par militārajiem produktiem, ņemot vērā, ka  Kohēzijas politika pagaidām nevar tieši finansēt militāro jomu, tās operācijas vai spējas, tomēr var finansēt aizsardzības rūpniecību, ja vien ieguldījumi atbilst līguma mērķim (no Eiropas Komisijas 2024.gada 2.oktobrī elektroniski saņemts skaidrojums par Kohēzijas politikas atbalstu militārajai industrijai).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finansētājs iekļauj finanšu pakalpojumus portfelī līdz trīs gadiem no līguma noslēgšanas ar sabiedrību "Altum". Sabiedrība "Altum" un finansētājs var vienoties par šā termiņa pagarināšanu, bet ne ilgāk kā par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 punktā skaidroto, ka "</w:t>
            </w:r>
            <w:r w:rsidR="00000000" w:rsidRPr="00000000" w:rsidDel="00000000">
              <w:rPr>
                <w:i w:val="1"/>
                <w:rtl w:val="0"/>
              </w:rPr>
              <w:t xml:space="preserve">minētās normas, kas ietvertas grozījumos un attiecas uz finansētāju atlasi, tiks piemērotas tikai jaunajās atlases kārtās</w:t>
            </w:r>
            <w:r w:rsidR="00000000" w:rsidRPr="00000000" w:rsidDel="00000000">
              <w:rPr>
                <w:rtl w:val="0"/>
              </w:rPr>
              <w:t xml:space="preserve">", lūdzam atbilstoši precizēt arī noteikumu 19.3. apakšpunktu, ka nosacījums "2+3" attiecas uz finansētāju atlasi tikai jaunajās atlases kārtās.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nav rezervēts viss pieejamais finansējums un atlases nosacījumi šādus nosacījumus paredz,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tiek izslēgta ekonomiskā priekšrocība finansētāju līmenī, akciju sabiedrība "Attīstības finanšu institūcija Altum" (turpmāk – sabiedrība "Altum") finansētājus atlasa atklātā, pārredzamā, nediskriminējošā un objektīvā atlases procedūrā atbilstoši šo noteikumu V nodaļai. No noteikumu 23. punkta pašreizējās redakcijas nav saprotama finansētāju atlases kārtība un nav skaidrs, kāpēc visi finansējuma saņēmēji netiks atlasīti atklātā, pārredzamā, nediskriminējošā un objektīvā atlases procedūrā, jo pretējā gadījumā ekonomisko priekšrocību šiem finansētājiem izslēgt nevar un tādā gadījumā būtu jāpiemēro komercdarbības atbalsta regulējums starpniekiem. Ņemot vērā iepriekš skaidroto, lūdzam nodrošināt, ka visi finansētāji tiek izvēlēti atklātā, pārredzamā, nediskriminējošā un objektīvā atlases procedūrā pēc nepieciešamības atbilstoši papildinot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anotācijas 1.3. sadaļā norādīto atsauci - "</w:t>
            </w:r>
            <w:r w:rsidR="00000000" w:rsidRPr="00000000" w:rsidDel="00000000">
              <w:rPr>
                <w:i w:val="1"/>
                <w:rtl w:val="0"/>
              </w:rPr>
              <w:t xml:space="preserve">Ministru kabineta 2016. gada 5. jūlija noteikumos Nr. 383 “Noteikumi par valsts atbalsta programmām komersantu konkurētspējas uzlabošanai un nodarbinātības veicināšanai</w:t>
            </w:r>
            <w:r w:rsidR="00000000" w:rsidRPr="00000000" w:rsidDel="00000000">
              <w:rPr>
                <w:rtl w:val="0"/>
              </w:rPr>
              <w:t xml:space="preserve">”", norādot korektu šo Ministru kabineta noteikumu datumu un nosaukumu.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w:t>
            </w:r>
            <w:r w:rsidR="00000000" w:rsidRPr="00000000" w:rsidDel="00000000">
              <w:rPr>
                <w:i w:val="1"/>
                <w:rtl w:val="0"/>
              </w:rPr>
              <w:t xml:space="preserve">Finansēšanas nolīgumu par līdzdalības fonda īstenošanu Nr. 1.2.0.0/23/001</w:t>
            </w:r>
            <w:r w:rsidR="00000000" w:rsidRPr="00000000" w:rsidDel="00000000">
              <w:rPr>
                <w:rtl w:val="0"/>
              </w:rPr>
              <w:t xml:space="preserve"> portfeļgarantiju programmai paredzētais finansējums sadalījumā pa avotiem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finanšu instrumenta publiskais finansējums ir </w:t>
            </w:r>
            <w:r w:rsidR="00000000" w:rsidRPr="00000000" w:rsidDel="00000000">
              <w:rPr>
                <w:b w:val="1"/>
                <w:rtl w:val="0"/>
              </w:rPr>
              <w:t xml:space="preserve">9 869 476 EUR</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8 389 055 EUR </w:t>
            </w:r>
            <w:r w:rsidR="00000000" w:rsidRPr="00000000" w:rsidDel="00000000">
              <w:rPr>
                <w:rtl w:val="0"/>
              </w:rPr>
              <w:t xml:space="preserve">Eiropas Reģionālās attīstības fonda finansējums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budžeta līdzfinansējums </w:t>
            </w:r>
            <w:r w:rsidR="00000000" w:rsidRPr="00000000" w:rsidDel="00000000">
              <w:rPr>
                <w:b w:val="1"/>
                <w:rtl w:val="0"/>
              </w:rPr>
              <w:t xml:space="preserve">1 480 421</w:t>
            </w:r>
            <w:r w:rsidR="00000000" w:rsidRPr="00000000" w:rsidDel="00000000">
              <w:rPr>
                <w:rtl w:val="0"/>
              </w:rPr>
              <w:t xml:space="preserve">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izziņas 18.punktā sniegto skaidrojumu par Zemkopības ministrijas priekšlikumu un sabiedrības “Altum” iekšējām kārtībām dubultfinansējuma pārbaudei arī anotācijas 1.3.sadaļas apakšsadaļā “Risinājuma apraksts”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iepriekš sniegto priekšlikumu un izziņas 22.punktā sniegto EM skaidrojumu, atkārtoti norādām, ka Ministru kabineta 2017. gada 5. septembra noteikumos Nr. 537 "Noteikumi par portfeļgarantijām sīko (mikro), mazo un vidējo saimnieciskās darbības veicēju – juridisko personu – kreditēšanas veicināšanai" nav noteikti 1.2.3.4.pasākuma portfeļgarantiju programmas rādītāji, lūdzam precizēt anotācijas 1.3.sadaļas pēdējo rindkopu, kā arī vēršam uzmanību, ka 1.2.3.specifiskā atbalsta mērķa pasē noteikts, ka portfeļgarantiju programmā tiks piesaistītas privātās investīcijas 30 miljonu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Noteikumu projekts paredz aizstāt programmā pieejamo ERAF finansējumu  9 869 476 euro apmērā 1.2.3.4. pasākuma ietvaros ar identisku finansējuma apmēru no 2014.-2020.gada ES fondu plānošanas perioda 3.1.1.1. pasākuma atmaksātā finansējuma. Minētās izmaiņas neietekmē esošos noslēgtos līgumus ar finansētājiem. Ņemot vērā, ka EM virza arī grozījumus Ministru kabineta 2023.gada 5.septembra noteikumi Nr. 510 “Eiropas Savienības kohēzijas politikas programmas 2021.–2027. gadam finanšu instrumentu kopīgie īstenošanas noteikumi” tiks salāgots programmai pieejamais finansējums, savukārt jau attiecinātie darījumi tiks koriģēti CFLA iesniegtajos maksājumu pieprasījumos. Minētās izmaiņas neietekmē sasniedzamos rezultatīvos rādītājus, kas noteikti 1.2.3.4. pasākuma līmenī un tiks sasniegti individuālo garantiju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anotācijas 1.3. sadaļas apakšsadaļā "Risinājuma apraksts" minēto grozījumu Ministru kabineta 2023.gada 5.septembra noteikumi Nr. 510 “Eiropas Savienības kohēzijas politikas programmas 2021.–2027. gadam finanšu instrumentu kopīgie īstenošanas noteikumi” tiesību akta lietas ID (TAP ietvaros) numuru, ņemot vērā sniegto informāciju, ka augstākminētie grozījumi tiek virzīti;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anotācijas 4. sadaļu ar informāciju par veicamajiem grozījumiem Ministru kabineta 2023. gada 5. 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papildināt Ministru kabineta sēdes protokollēmuma projektu ar atbilstošu uzdevumu sagatavot un ekonomikas ministram iesniegt izskatīšanai Ministru kabinetā attiecīgos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w:t>
            </w:r>
            <w:r w:rsidR="00000000" w:rsidRPr="00000000" w:rsidDel="00000000">
              <w:rPr>
                <w:i w:val="1"/>
                <w:rtl w:val="0"/>
              </w:rPr>
              <w:t xml:space="preserve">Tāpat MK Noteikumu projekts paredz, ka, ja atlases ietvaros sākotnēji nav rezervēts viss pieejamais finansējums, sabiedrība "Altum" ir tiesīga slēgt sadarbības līgumus arī ar citiem finansētājiem, kas kvalificējušies atlasē atbilstoši atlases nosacījumiem ar nosacījumu, ka šāds punkts ir iekļauts atlases nolikumā. Minētās normas, kas attiecas uz finansētāju atlasi būs piemērojamas tikai sākot ar nākošajām finansētāju atlases kārtām, </w:t>
            </w:r>
            <w:r w:rsidR="00000000" w:rsidRPr="00000000" w:rsidDel="00000000">
              <w:rPr>
                <w:i w:val="1"/>
                <w:u w:val="single"/>
                <w:rtl w:val="0"/>
              </w:rPr>
              <w:t xml:space="preserve">savukārt izmaiņas programmas nosacījumos, kas labvēlīgi ietekmē komersantus, varēs tik piemērotas, ja atlasītie finansētāji vēlēsies tās piemērot jau šajās altases kārtās,</w:t>
            </w:r>
            <w:r w:rsidR="00000000" w:rsidRPr="00000000" w:rsidDel="00000000">
              <w:rPr>
                <w:i w:val="1"/>
                <w:rtl w:val="0"/>
              </w:rPr>
              <w:t xml:space="preserve"> veicot attiecīgus līguma grozījumus līgumos ar finansētājiem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juridiskās tehnikas prasībām grozījumi normatīvajā regulējumā attiecināmi uz nākotni, t.i., no attiecīgo grozījumu spēkā stāšanās brīža, lūdzam viennozīmīgai regulējuma interpretācijai anotācijā konkretizēt, kuri ir tie nosacījumi, kas varēs tikt piemēroti attiecībā uz jau notikušajām atlases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divus mēnešus pēc šo noteikumu projekta pieņemšanas Ministru kabinetā sadarbībā ar akciju sabiedrību "Attīstības finanšu institūcija Altum" saskaņā ar Attīstības finanšu institūcijas likuma 12. panta trešo daļu sagatavot programmas rādītāju un sagaidāmo zaudējumu novērtējumu un ekonomikas ministram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dotā uzdevuma viennozīmīgu interpretāciju, lūdzam precizēt Ministru kabineta sēdes protokollēmuma projekta 3. punktu, lai būtu viennozīmīgi regulēts termiņš, kādā ekonomikas ministram ir pienākums iesniegt izskatīšanai Ministru kabinetā attiecīgo novērtējumu. Vienlaikus vēršam uzmanību, ka ar Ministru kabineta sēdes protokollēmumu var tikt dots uzdevums valsts pārvaldes iestādēm, nevis kapitālsabiedrībām. Ievērojot minēto, lūdzam izteikt Ministru kabineta sēdes protokollēmuma projekta 3. punktu piedāvātajā redakcijā (skat. pēc līdzības ar, piemēram, noteikumu projektu "Grozījumi Ministru kabineta 2020. gada 16. jūnija noteikumos Nr. 383 "Noteikumi par garantijām saimnieciskās darbības veicējiem konkurētspējas uzlabošanai"" (25-TA-400)).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saskaņā ar Attīstības finanšu institūcijas likuma 12. panta trešajā daļā noteiktajām prasībām sagatavot programmas rādītāju un sagaidāmo zaudējumu novērtējumu un ekonomikas ministram 60 dienu laikā pēc šo noteikumu pieņemšanas dienas iesniegt to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"projekts paredz pārdalīt Portfeļgarantiju programmai pieejamo ERAF finansējumu uz individuālo garantiju programmu, tādā paša apjoma šo aizstājot ar 14-20 perioda atmaksām" lūdzam EM izvērtēt un nepieciešamības gadījumā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vai noteikumos nepieciešamas atsauces uz 1.2.3.4.pasākumu un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ietvert informāciju par EM izvērtējumu par noteikumu plānotajā 5.3.apakšpunktā ietvertā finansējuma izlietojumu atbilstoši Eiropas Parlamenta un Padomes 2013. gada 17. decembra Regulas (ES) Nr. 1303/2013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45.panta nosacījumiem par līdzekļu atkārtotu izmantošanu pēc atbilstības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Eiropas Savienības kohēzijas politikas programmas 2021. - 2027.gadam (turpmāk - Programma) 1.2.3. specifiskā atbalsta mērķa aprakstā ietverta informācija par portfeļgarantijām, līdz ar to norādām, ka būtu nepieciešami arī precizējumi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anotācijā noteikto, ka izmaiņas neietekmē sasniedzamos rezultatīvos rādītājus, kas noteikti 1.2.3.4. pasākuma līmenī un tiks sasniegti individuālo garantiju programmas ietvaros, lūdzam EM iesniegt atbilstoši precizētu 1.2.3.specifiskā atbalsta mērķa rādītāju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mazo vidējās kapitalizācijas un vidējās kapitalizācijas saimnieciskās darbības veicēju garantijas kredīta kvalitāte ir pielīdzināma vismaz B– kredītreitingam, kas norādīts šo noteikumu </w:t>
            </w:r>
            <w:r w:rsidR="00000000" w:rsidRPr="00000000" w:rsidDel="00000000">
              <w:rPr>
                <w:rtl w:val="0"/>
              </w:rPr>
              <w:t xml:space="preserve">​pielikumā</w:t>
            </w:r>
            <w:r w:rsidR="00000000" w:rsidRPr="00000000" w:rsidDel="00000000">
              <w:rPr>
                <w:rtl w:val="0"/>
              </w:rPr>
              <w:t xml:space="preserve"> minētajai kredīta kvalitātes klasei "Maksātspēju varētu mazināt nelabvēlīgi apstākļi" atbilstoši Komisijas regulas Nr. </w:t>
            </w:r>
            <w:r w:rsidR="00000000" w:rsidRPr="00000000" w:rsidDel="00000000">
              <w:rPr>
                <w:rtl w:val="0"/>
              </w:rPr>
              <w:t xml:space="preserve">2023/2831</w:t>
            </w:r>
            <w:r w:rsidR="00000000" w:rsidRPr="00000000" w:rsidDel="00000000">
              <w:rPr>
                <w:rtl w:val="0"/>
              </w:rPr>
              <w:t xml:space="preserve"> 4. panta 6. punkta "a" apakšpunktam un Komisijas regulas Nr. 1408/2013 4. panta 6.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nekorektas interpretācijas riska, lūdzam noteikumu 10.9. apakšpunktā plānotajā redakcijā saikli "un", kas lietots starp abām Komisijas regulām, aizstāt ar saikli "vai", ņemot vērā to, ka de minimis atbalstu piešķirs vai nu ar vienu, vai otru Komisijas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garantijas tiek sniegtas investīciju projektiem drošības un aizsardzības jomā, ja komersants iesniedz sabiedrības "Altum" Aizsardzības ministrijas atzinumu par komersanta investīciju projekta atbilstību drošības un aizsardzības jomai ar izvērtējumu par investīciju projekta atbilstību militārajai vai divējāda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papildināts ar Ministru kabineta 2017. gada 5. septembra noteikumu Nr. 537 "Noteikumi par portfeļgarantijām sīko (mikro), mazo un vidējo saimnieciskās darbības veicēju – juridisko personu – kreditēšanas veicināšanai" (turpmāk - noteikumi Nr. 537) plānoto 10.10. apakšpunktu, kas ietvert pienākumu Aizsardzības ministrijai sniegt atzinumu par komersanta investīciju projekta atbilstību drošības un aizsardzības jomai, lūdzam saskaņot noteikumu projektu ar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w:t>
            </w:r>
            <w:r w:rsidR="00000000" w:rsidRPr="00000000" w:rsidDel="00000000">
              <w:rPr>
                <w:i w:val="1"/>
                <w:rtl w:val="0"/>
              </w:rPr>
              <w:t xml:space="preserve">de minimis</w:t>
            </w:r>
            <w:r w:rsidR="00000000" w:rsidRPr="00000000" w:rsidDel="00000000">
              <w:rPr>
                <w:rtl w:val="0"/>
              </w:rPr>
              <w:t xml:space="preserve"> atbalstu, saskaņā ar Komisijas regulu Nr. 2023/2831, drīkst piešķirt tikai tad, ja atbalsta pretendents nodrošina šo nozaru vai darbību nodalīšanu vai uzskaites nodalīšanu, ievērojot Komisijas regulas Nr. 2023/2831 1. panta 2. punktu.  Ja saimnieciskās darbības veicējs darbojas Komisijas regulas Nr. 1408/2013 1. panta 1. punkta "a", "b", "c" apakšpunktā noteiktās darbības, </w:t>
            </w:r>
            <w:r w:rsidR="00000000" w:rsidRPr="00000000" w:rsidDel="00000000">
              <w:rPr>
                <w:i w:val="1"/>
                <w:rtl w:val="0"/>
              </w:rPr>
              <w:t xml:space="preserve">de minimis</w:t>
            </w:r>
            <w:r w:rsidR="00000000" w:rsidRPr="00000000" w:rsidDel="00000000">
              <w:rPr>
                <w:rtl w:val="0"/>
              </w:rPr>
              <w:t xml:space="preserve"> atbalstu, saskaņā ar Komisijas regulu Nr. 1408/2013, drīkst piešķirt tikai tad, ja atbalsta pretendents nodrošina šo nozaru vai darbību nodalīšanu vai uzskaites nodalīšanu, ievērojot Komisijas regulas Nr. 1408/2013 1. panta 2. un 3.punktu.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Regulas (ES) 2023/2831 par Līguma par Eiropas Savienības darbību 107. un 108. panta piemērošanu de minimis atbalstam 1. panta 2. punktā minētais nosacījums par  darbību nodalīšanu vai uzskaites nodalīšanu attiecas uz to, lai darbības izslēgtajās nozarēs negūst labumu no de minimis atbalsta, ko piešķir saskaņā ar šo regulu, lūdzam precizēt noteikumu 14. punkta plānotās redakcijas 1. teikumu. Lūdzam skatīt piedāvātās redakcijas piemēru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analoģijas precizēt arī šī punkta 2. teikumu attiecībā uz nosacījumiem, kas izriet no Komisijas 2013. gada 18. decembra Regulas (ES) Nr. 1408/2013 par Līguma par Eiropas Savienības darbību 107. un 108. panta piemērošanu de minimis atbalstam lauksaimniecības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saimnieciskās darbības veicējs vienlaikus darbojas vienā vai vairākās Komisijas regulas Nr. 2023/2831 1. panta 1. punkta a), b), c) un d) apakšpunktā minētajās nozarēs, de minimis atbalstu saskaņā ar Komisijas regulu Nr. 2023/2831, drīkst piešķirt tikai tad, ja atbalsta pretendents nodrošina šo </w:t>
            </w:r>
            <w:r w:rsidR="00000000" w:rsidRPr="00000000" w:rsidDel="00000000">
              <w:rPr>
                <w:u w:val="single"/>
                <w:rtl w:val="0"/>
              </w:rPr>
              <w:t xml:space="preserve">nozaru darbību vai uzskaites nodalīšanu</w:t>
            </w:r>
            <w:r w:rsidR="00000000" w:rsidRPr="00000000" w:rsidDel="00000000">
              <w:rPr>
                <w:rtl w:val="0"/>
              </w:rPr>
              <w:t xml:space="preserve">, lai saskaņā ar Komisijas regulas Nr. 2023/2831 1. panta 2. punktu darbības izslēgtajās nozarēs negūst labumu no de minimis atbalsta, ko piešķir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nav rezervēts viss pieejamais finansējums un atlases nosacījumi šādus nosacījumus paredz,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10. punktā sniegto skaidrojumu, ka gatavojot atlases nolikumu nākošajām kārtām, nolikuma dokumentācijā tiktu sagatavots papildinājums, kas ietverts 23.punkta otrajā teikumā - t.i., gadījumā, ja starp atlasītajiem finansētājiem sākotnēji nav sadalīts viss pieejamais finansējums, citi pretendenti, kas atbilst programmas nosacījumiem un atlases kritērijiem noteiktā periodā, kas definēts atlases nosacījumos, būtu iespējams pieteikties nolikumā noteiktajā kārtībā iesniedzot piedāvājumus, arī pretendēt uz iespēju slēgt līgumu portfeļgarantiju programma, aicinām regulējuma viennozīmīgas interpretācijas nolūkos aizstāt noteikumu 23. punkta plānotajā redakcijā vārdus "Ja atlases ietvaros sākotnēji nav rezervēts" ar vārdiem "Ja iepriekšējo atlases kārtu ietvaros nav rezervēts".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iepriekšējo atlases kārtu ietvaros nav rezervēts viss pieejamais finansējums un atlases nosacījumi šādus nosacījumus paredz, sabiedrība "Altum" var slēgt līgumus arī ar citiem finansētājiem, kas kvalificējušies atlasē saskaņā ar atlases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w:t>
            </w:r>
            <w:r w:rsidR="00000000" w:rsidRPr="00000000" w:rsidDel="00000000">
              <w:rPr>
                <w:rtl w:val="0"/>
              </w:rPr>
              <w:t xml:space="preserve">2023/2831</w:t>
            </w:r>
            <w:r w:rsidR="00000000" w:rsidRPr="00000000" w:rsidDel="00000000">
              <w:rPr>
                <w:rtl w:val="0"/>
              </w:rPr>
              <w:t xml:space="preserve">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 punktā sniegto informāciju, ka: “</w:t>
            </w:r>
            <w:r w:rsidR="00000000" w:rsidRPr="00000000" w:rsidDel="00000000">
              <w:rPr>
                <w:i w:val="1"/>
                <w:rtl w:val="0"/>
              </w:rPr>
              <w:t xml:space="preserve">Atgūtā summa saskaņā ar sadarbības līgumiem nepaliek finansētāja rīcībā, tā ka atgūto summu finansētājs pārskaita Altum</w:t>
            </w:r>
            <w:r w:rsidR="00000000" w:rsidRPr="00000000" w:rsidDel="00000000">
              <w:rPr>
                <w:rtl w:val="0"/>
              </w:rPr>
              <w:t xml:space="preserve">”, lai nodrošinātu izpratni par veicamajām darbībām gadījumos, kad projektā tiek konstatēts nelikumīgs komercdarbības atbalsts, lūdzam atbilstoši papildināt noteikumu projektu 32.</w:t>
            </w:r>
            <w:r w:rsidR="00000000" w:rsidRPr="00000000" w:rsidDel="00000000">
              <w:rPr>
                <w:vertAlign w:val="superscript"/>
                <w:rtl w:val="0"/>
              </w:rPr>
              <w:t xml:space="preserve">1</w:t>
            </w:r>
            <w:r w:rsidR="00000000" w:rsidRPr="00000000" w:rsidDel="00000000">
              <w:rPr>
                <w:rtl w:val="0"/>
              </w:rPr>
              <w:t xml:space="preserve"> punktu ar nosacījumu, ka finansētājs atbilstoši sadarbības līgumos noteiktajam no atbalsta saņēmēja atgūto atbalsta summu pārskaita atbalsta sniedzējam sabiedrībai “ALTUM”. Vienlaicīgi iesakām izmantot atgūšanas mehānismu līdzīgi kā tas ir noteikts, piemēram, Ministru kabineta 2016. gada 5. janvāra noteikumos Nr. 2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93. punktu, kurā noteikta atgūšanas kārtība finansējuma starpnieku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17.06.2025.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17.06.2025.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Atzinumi_25-TA-782.docx</dc:title>
</cp:coreProperties>
</file>

<file path=docProps/custom.xml><?xml version="1.0" encoding="utf-8"?>
<Properties xmlns="http://schemas.openxmlformats.org/officeDocument/2006/custom-properties" xmlns:vt="http://schemas.openxmlformats.org/officeDocument/2006/docPropsVTypes"/>
</file>