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1.3. apakšpunktā norādītās informācijas izriet, ka ar likumprojekta normām tiek tostarp ieviestas Eiropas Parlamenta un Padomes 2009. gada 13. jūlija Regulas (EK) Nr. 715/2009 par nosacījumiem attiecībā uz piekļuvi dabasgāzes pārvades tīkliem un par Regulas (EK) Nr. 1775/2005 atcelšanu (turpmāk – Regula) prasības par ieejas-izejas sistēmas koncepciju. Ievērojot minēto, lūdzam papildināt likumprojekta anotācijas 5. punktu par tiesību akta projekta atbilstību Latvijas Republikas starptautiskajām saistībām, norādot, konkrēti kurām Regulas normām nepieciešams likumprojekta normās paredzēts ieviešanas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lūdzam ņemt vērā arī to, ka atbilstoši Līguma par Eiropas Savienības darbību 288. pantam regulas ir </w:t>
            </w:r>
            <w:r w:rsidR="00000000" w:rsidRPr="00000000" w:rsidDel="00000000">
              <w:rPr>
                <w:u w:val="single"/>
                <w:rtl w:val="0"/>
              </w:rPr>
              <w:t xml:space="preserve">tieši piemērojamas</w:t>
            </w:r>
            <w:r w:rsidR="00000000" w:rsidRPr="00000000" w:rsidDel="00000000">
              <w:rPr>
                <w:rtl w:val="0"/>
              </w:rPr>
              <w:t xml:space="preserve">. Līdz ar to nav pieļaujama regulu normu pārrakstīšana nacionālajos normatīvajos aktos. Regulu normu ieviešanas pasākumi nacionālajos normatīvajos aktos var būt nepieciešami, lai pielāgotu nacionālos normatīvos aktus Eiropas Savienības tiesiskajam regulējumam vai lai nodrošinātu no regulām izrietošo prasību netraucētu piemērošanu, tomēr ar ieviešanas pasākumiem nav pieļaujams dublēt vai interpretēt regulu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šobrīd likumprojekta anotācijas 5. punktā norādīts, ka likumprojekts šo jomu neskar, kaut gan no anotācijas 1. punktā norādītās informācijas izriet pretējais. Minēto neatbilstību nepieciešams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Gāzveida stāvoklī pārvērstu sašķidrināto dabasgāzi un cita veida gāzveida kurināmo, tostarp biometānu atļauts ievadīt dabasgāzes pārvades un sadales sistēmā. Ministru kabinets nosaka prasības, kā arī gāzes kvalitātes raksturlielumus, lai gāzes ievadīšana un transportēšana dabasgāzes pārvades un sadales sistēmā būtu droša.”;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paredzēto Enerģētikas likuma (turpmāk – likums) 110. panta sestās daļas izteikšanu jaunā redakcijā piedāvājam papildus izvērtēt un precizēt. Vēršam uzmanību, ka katrai tiesību normai vai tās grozījumiem ir noteikts mērķis, bet likumā spēkā esošā norma un projektā paredzētais jaunais regulējums praktiski neatšķiras. Šajā gadījumā vārdu secības maiņa vai papildu vārdi nemaina normas būtību. Projekta anotācijā šāda grozījuma mērķis netiek skaidrots. Papildus norādām, ka Ministru kabinets likumā noteikta pilnvarojuma ietvaros ir tiesīgs veikt dažādus grozījumus jebkuros noteikumos, tai skaitā izdot noteikumus jaunā redakcijā un tādēļ nav jāveic likuma pilnvarojuma maiņa. Ievērojot minēto, piedāvājam likuma 110. panta sestajā daļā projektā piedāvāto grozījumu neveikt. Attiecīgi būtu jāprecizē projekta anotācijas IV sadaļa, informācija jāsniedz proti, nevis par spēka zaudēšanu, bet par nepieciešamajiem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Šā likuma 110. panta sestajā daļā minētos noteikumus Ministru kabinets izdod trīs mēnešu laikā no šā panta grozījumu spēkā stāšanās dienas. Līdz šo noteikumu spēkā stāšanās dienai piemērojami Ministru kabineta 2022. gada 13. septembra noteikumi Nr.567 “Noteikumi par prasībām biometāna un gāzveida stāvoklī pārvērstas sašķidrinātās dabasgāzes ievadīšanai un transportēšanai dabasgāzes pārvades un sadales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7. pantā paredzēto likuma pārejas noteikumu 76. punktu piedāvājam papildus izvērtēt un gadījumā, ja grozījums likuma 110. panta sestajā daļā par tās izteikšanu jaunā redakcijā tiek virzīts, pārejas regulējumu izteikt līdzīgi, kā ir veidots likuma pārejas noteikumu 36. punkts vai citi šādi punkti, proti, ar precīzi noteiktu veco Ministru kabineta noteikumu spēkā esamības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26.10.2023.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26.10.2023.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Atzinumi_23-TA-2498.docx</dc:title>
</cp:coreProperties>
</file>

<file path=docProps/custom.xml><?xml version="1.0" encoding="utf-8"?>
<Properties xmlns="http://schemas.openxmlformats.org/officeDocument/2006/custom-properties" xmlns:vt="http://schemas.openxmlformats.org/officeDocument/2006/docPropsVTypes"/>
</file>