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25-TA-2249: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ceturtās un piektās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pasākuma ceturtajā un piektajā atlases kārtā netiek izmantots viss tai paredzētais Taisnīgas pārkārtošanās fonda finansējums, var īstenot atkārtotus uzsaukumus vai arī neizmantoto finansējuma daļu pārdalīt citu 6.1.1. specifiskā atbalsta mērķa "Pārejas uz klimatneitralitāti radīto ekonomisko, sociālo un vides seku mazināšana visvairāk skartajos reģionos " pasākumu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pārdalei uz citiem specifisko atbalsta mērķu pasākumiem nepieciešams atsevišķs Ministru kabineta lēmums (t.i. veicami atbilstoši grozījumi saistītajos normatīvajos aktos), lūdzam svītrot noteikumu projekta 15. punktā vārdus un skaitļus "vai arī neizmantoto finansējuma daļu pārdalīt citu 6.1.1. specifiskā atbalsta mērķa "Pārejas uz klimatneitralitāti radīto ekonomisko, sociālo un vides seku mazināšana visvairāk skartajos reģionos "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pasākuma ceturtajā un piektajā atlases kārtā netiek izmantots viss tai paredzētais Taisnīgas pārkārtošanās fonda finansējums, var īstenot atkārtotus uzsaukumus.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pasākuma piektajā atlases kārtā - privātpersona, kuras īpašumā, valdījumā vai turējumā atrodas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minētās teritorijas vai īpašnieka pilnvarota 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apakšsadaļas "Risinājuma apraksts" punktā "Projekta iesniedzējs un finansējuma saņēmējs" skaidrots, ka privātpersonai (finansējuma saņēmējam, kurš minēts noteikumu projekta 16.2. apakšpunktā, un sadarbības partnerim, kurš minēts noteikumu projekta 17.1. apakšpunktā) attiecīgā teritorija var būt ne tikai īpašumā, valdījumā vai turējumā, bet privātpersona arī var būt ieguvusi </w:t>
            </w:r>
            <w:r w:rsidR="00000000" w:rsidRPr="00000000" w:rsidDel="00000000">
              <w:rPr>
                <w:u w:val="single"/>
                <w:rtl w:val="0"/>
              </w:rPr>
              <w:t xml:space="preserve">apbūves tiesības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noteikumu projekta 16.2. un 17.1. apakšpunktu, papildinot ar norādi uz apbūves tiesību iegūšanu kā vienu no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73.1.2. pasākuma piektajā atlases kārtā, ja finansējuma saņēmējs ir fiziska persona, sadarbības iestāde, ievērojot šo noteikumu </w:t>
            </w:r>
            <w:r w:rsidR="00000000" w:rsidRPr="00000000" w:rsidDel="00000000">
              <w:rPr>
                <w:rtl w:val="0"/>
              </w:rPr>
              <w:t xml:space="preserve">73.1.1. </w:t>
            </w:r>
            <w:r w:rsidR="00000000" w:rsidRPr="00000000" w:rsidDel="00000000">
              <w:rPr>
                <w:rtl w:val="0"/>
              </w:rPr>
              <w:t xml:space="preserve">apakšpunktā</w:t>
            </w:r>
            <w:r w:rsidR="00000000" w:rsidRPr="00000000" w:rsidDel="00000000">
              <w:rPr>
                <w:rtl w:val="0"/>
              </w:rPr>
              <w:t xml:space="preserve"> minēto normatīvo aktu un vadlīniju prasības, nodrošina komunikācijas un vizuālās identitātes pasākumu īstenošanu pēc civiltiesiskā līguma par projektu īstenošanu parakstīšanas publicējot informāciju par projektu. Projekta iesniedzējs apliecina, ka ir informēts par projektu raksturojošās informācijas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73.1.2. apakšpunktā teikumu "Projekta iesniedzējs apliecina, ka ir informēts par projektu raksturojošās informācijas publicēšanu", jo saredzam tajā papildu apgrūtinājumu projekta īstenotājiem (fiziskām personām) un lieku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šādu apliecinājumu varētu prasīt, ja tam būtu kāds juridiskas pamatojums, piemēram Fizisko personu datu apstrādes likums neļautu publiskot šo informāciju bez personas piekrišanas. Informējam, ka jau šobrīd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nosaka par pienākumu arī gadījumos, kad finansējuma saņēmējs ir fiziska persona publicēt šos datus informācijas caurspīdīguma nodrošināšanai, un tas tiek darīts Kohēzijas politikas fondu vadības informācijas sistēmā (turpmāk - KPVIS),  savukārt KPVIS dati arī tiek pārpublicēti tīmekļa vietnē www.esfondi.lv un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šī informācija jau ir publiski pieejama un šāda apliecinājuma pieprasīšana neko nemaina pēc būtības, un rada papildus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salāgot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apakšsadaļā "Cita informācija" norādīto 6.1.1.1.pasākuma trešās atlases kārtas intervences kodu Nr. 74. Vēršam uzmanību, ka 6.1.1.1.pasākuma trešās atlases kārtā ir intervences kods Nr. 74 (25 255 000 euro), un intervences kods Nr. 79 (4 750 000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aizpildīt 5.3. apakšpunktu atbilstoši 3.3. apakšpunktā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Viedās administrācijas un reģionālās attīstības ministrija grozījumus Ministru kabineta 2025. gada 25. jūnija noteikumos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nosakot, ka turpmāk 6.1.1.1. pasākuma otrās kārtas kopējais finansējums ir ne mazāks kā  1 025 092 euro, tai skaitā Taisnīgas pārkārtošanās fonda finansējums – 871 328 euro un nacionālais finansējums (pašvaldību finansējums) – ne mazāks kā 163 764 euro, sagatavos kopā ar citiem būtiskiem grozījumiem šajā normatīvajā aktā.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protokollēmuma 4.punktā norādīto, ka grozījumi par finansējuma pārdali no 6.1.1.1. pasākuma 2. kārtas skar anotācijas 4. sadaļu, lūdzam aizpildīt anotācijas 4. sadaļu ar norādi uz Ministru kabineta 2025. gada 25. jūnija noteikumiem Nr. 394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otrās projektu iesniegumu atlases kārtas īstenošanas noteikumi" (turpmāk – noteikumiem Nr. 394) kā grozāmo tiesību aktu, savukārt skaidrojumu, kādēļ grozījumi noteikumos Nr. 394 tiks veikti tikai kopā ar citiem būtiskiem grozījumiem tajos, pārcelt no anotācijas 1.6. sadaļas uz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protokollēmuma 4.punktā norādīto nacionālo finansējumu (pašvaldības finansējums) no 163 764 euro uz 153 764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Baldunčika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25-TA-2249</w:t>
    </w:r>
    <w:r>
      <w:br/>
    </w:r>
    <w:r w:rsidR="00000000" w:rsidRPr="00000000" w:rsidDel="00000000">
      <w:rPr>
        <w:rtl w:val="0"/>
      </w:rPr>
      <w:t xml:space="preserve">Izdrukāts 23.01.2026.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Atzinumi_25-TA-2249.docx</dc:title>
</cp:coreProperties>
</file>

<file path=docProps/custom.xml><?xml version="1.0" encoding="utf-8"?>
<Properties xmlns="http://schemas.openxmlformats.org/officeDocument/2006/custom-properties" xmlns:vt="http://schemas.openxmlformats.org/officeDocument/2006/docPropsVTypes"/>
</file>