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sākotnējā atzinumā izteiktos iebildumus un atkārtoti lūdz Kultūras ministriju vai nu precizēt Ministru kabineta noteikumu projektu, vai anotācijas projektu ar izvērstu informāciju par praktisko normas ieviešanu un ietekmi uz valsts institūciju darbību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vismaz tādus aspektus kā priekšfinansējuma pieprasīšanas, piešķiršanas un atgūšanas kārtība, proti, kāds ir paredzamais process pēc informatīvā ziņojuma apstiprināšanas Ministru kabinetā. Tā kā nozares ministrija apropriācijas pārdales pieprasījumu veic par sava resora budžeta programmu, attiecīgais priekšfinansējums tiek ieskaitīts nozares ministrijas budžetā. Lai veiktu apropriācijas pārdali uz biedrības kontu, nozares ministrijai ir jābūt juridiskajam pamatojumam šāda maksājuma veikšanai. Vai šajā gadījumā ministrijai būtu jāslēdz līgums ar attiecīgo biedrību, cita starpā paredzot arī termiņus un nosacījumus priekšfinansējuma atmaksai nozares ministrijas vai citā Valsts kases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anotācijas projektā sniegt korektu informāciju par to: 1) kādas darbības vai procedūras ir jāveic nozaru ministrijām, lai veidotu vienotu pieeju priekšfinansējuma pieprasījuma izvērtēšanā, 2) kā arī iespējamo ietekmi uz administratīvo slogu. Apzinoties, ka visi valsts pārvaldes iestādēm uzdotie uzdevumi tiek veikti esošo resursu ietvaros, grozījumu ietekmē uz administratīvu slogu būtu jānorāda pamatota informācija. Kā jau Kultūras ministrija norādījusi izziņā, iestādēs būs jānosaka procedūras pieprasījumu izvērtēšanā, būs jāanalizē atbilstība kritērijiem un attiecīgie dokumenti, būs jāgatavo informatīvais ziņojums, būs jāveic apropriācijas pārdales un būs jāuzrauga un jānodrošina priekšfinansējuma atmaksa.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termiņiem, kuros nepieciešams sagatavot Informatīvā ziņojuma projektus, ņemot vērā, ka minētie Informatīvā ziņojuma sagatavošanas un saskaņošanas procesi, kā arī izskatīšana Ministru kabineta sēdē var būt laikietilpīgs process. Vienlaikus, attiecīgie projekti arī ir ierobežoti laika termiņā, tai skaitā līgumslēgšanas termiņos, līdz ar to var rasties situācija, ka Informatīvā ziņojuma sagatavošanas un apstiprināšanas process ir laikietilpīgāks nekā to atļautu projekta īstenošanas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Valmane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20.11.2025.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20.11.2025.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Atzinumi_25-TA-1755.docx</dc:title>
</cp:coreProperties>
</file>

<file path=docProps/custom.xml><?xml version="1.0" encoding="utf-8"?>
<Properties xmlns="http://schemas.openxmlformats.org/officeDocument/2006/custom-properties" xmlns:vt="http://schemas.openxmlformats.org/officeDocument/2006/docPropsVTypes"/>
</file>