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29. oktobra noteikumos Nr. 1191 "Kārtība, kādā publiska persona nomā nekustamo īpašumu no privātpersonas vai kapitālsabiedrības un publicē informāciju par nomātajiem un nomāt paredzētajiem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04.07.2025.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04.07.2025.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Atzinumi_25-TA-1065.docx</dc:title>
</cp:coreProperties>
</file>

<file path=docProps/custom.xml><?xml version="1.0" encoding="utf-8"?>
<Properties xmlns="http://schemas.openxmlformats.org/officeDocument/2006/custom-properties" xmlns:vt="http://schemas.openxmlformats.org/officeDocument/2006/docPropsVTypes"/>
</file>