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izlabot tiesību akta projekta anotācijā veiktās atsauces uz Komisijas Īstenošanas regulu (ES) Nr. 2021/776 (2021. gada 11. maijs), ar ko nosaka paraugus konkrētām veidlapām, kā arī tehniskos noteikumus efektīvai informācijas apmaiņai saskaņā ar Eiropas Parlamenta un Padomes Regulu (ES) 2018/1672 par Savienības teritorijā ievestās skaidras naudas vai no tās izvestās skaidras naudas kontroli. Tiesību akta projekta anotācijā vairākās vietās nepareizi norādīts regulas numurs.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Anete Apsīte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14.05.2024.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14.05.2024.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