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ne tikai jaunu projekta darbību iekļaušanu un jaunu partneru piesaisti, bet  arī sasniedzamo rādītāju - pakalpojumus saņēmušo bērnu kumulatīvais skaits, kuriem ir attīstības grūtības, attīstības nepietiekamība vai tās veidošanās riski un kuriem veicināta pozitīva attīstība un pašrealizācija - būtisku samazinājumu ( 55% samazinājums MKN grozījumu konsolidētās versijas 5.1.1.1.p.  vai 47 % MKN konsolidētās versijas 5.1.2.1. un 6.1.p.), lūdzam papildināt anotāciju ar skaidrojumu un izvērtējumu par MKN grozījumu ietekmi uz bērna labākajām interesēm.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04.07.2025.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04.07.2025.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