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sabiedrība "Altum" aizdevumu vai paralēlo aizdevumu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421 tiek aizstātas atsauces uz spēku zaudējušo </w:t>
            </w:r>
            <w:r w:rsidR="00000000" w:rsidRPr="00000000" w:rsidDel="00000000">
              <w:rPr>
                <w:i w:val="1"/>
                <w:rtl w:val="0"/>
              </w:rPr>
              <w:t xml:space="preserve">Komisijas 2013. gada 18. decembra Regulu (ES) Nr. 1407/2013 par Līguma par Eiropas Savienības darbību 107. un 108. panta piemērošanu de minimis atbalstam</w:t>
            </w:r>
            <w:r w:rsidR="00000000" w:rsidRPr="00000000" w:rsidDel="00000000">
              <w:rPr>
                <w:rtl w:val="0"/>
              </w:rPr>
              <w:t xml:space="preserve"> ar atsaucēm uz to aizstājošo </w:t>
            </w:r>
            <w:r w:rsidR="00000000" w:rsidRPr="00000000" w:rsidDel="00000000">
              <w:rPr>
                <w:i w:val="1"/>
                <w:rtl w:val="0"/>
              </w:rPr>
              <w:t xml:space="preserve">Komisijas 2023. gada 13. decembra Regulas (ES) Nr. 12023/2831 par Līguma par Eiropas Savienības darbību 107. un 108. panta piemērošanu de minimis atbalstam, </w:t>
            </w:r>
            <w:r w:rsidR="00000000" w:rsidRPr="00000000" w:rsidDel="00000000">
              <w:rPr>
                <w:rtl w:val="0"/>
              </w:rPr>
              <w:t xml:space="preserve">lūdzam attiecīgi precizēt arī noteikumu 47.1.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noteikumos Nr. 421 tiek veikti tehniski precizējumi ar regulas ieviešanu saistītajās normas, aicinām izvērtēt, vai atsevišķas noteikumu Nr. 421 normas (piemēram, noteikumu 58. un 59. punkts) nav precizējamas ar mērķi pēc iespējas izvairīties no regulas normu pilnīgas vai daļējas parakstīšanas nacionālajā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16.02.2024.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16.02.2024.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