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speciālās regulatīvās vides izveidi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rosina precizēt  anotācijas 8.2. sadaļā ietverto apgalvojumu, ka regulatīvās vides tvērumā neietilpst atkrastes vēja enerģijas iekārtas. Inovatīvas uzņēmējdarbības un prioritāro projektu atbalsta likuma 3. panta pirmās daļas 4. punktā ir tieši paredzēta viedā enerģētika un neto nulles emisiju tehnoloģijas, līdz ar to nav pamata atkrastes vēja enerģijas tehnoloģijas vispārīgi izslēgt no speciālās regulatīvās vides tvēruma. Apstāklis, ka atkrastes vēja elektrostaciju būvniecībai, ierīkošanai un ekspluatācijai piemērojams atsevišķs jūras izmantošanas un būvniecības regulējums, pats par sevi nav pamats to izslēgšanai no inovatīvu tehnoloģiju testēšanas. Ja atkrastes vēja enerģijas iekārtas tomēr nav paredzēts ietvert regulatīvās vides tvērumā, anotācijā nepieciešams norādīt šādas izslēgšanas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