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Ražotāja paplašinātās atbildības sistēmu plastmasu saturošiem izstrādājumiem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novērst informācijas dublēšanos anotācijas 2.1. sadaļā "Sabiedrības grupas, kuras tiesiskais regulējums ietekmē, vai varētu ietekmēt". Šobrīd sadaļā "Fiziskās personas" aprakstīts, kā tiesību aktu projekts ietekmēs komersantus, tāpēc šī informācija būtu atstājama tikai sadaļā "Juridiskās personas". Ja tiesību aktu projekts nerada izmaiņas administratīvajā slogā fiziskām personām, tad "fiziskās personas" sadaļu nav nepieciešams aizpildīt, atstājot informāciju tikai sadaļā "Juridiskās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10.11.2022.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10.11.2022.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Atzinumi_22-TA-189.docx</dc:title>
</cp:coreProperties>
</file>

<file path=docProps/custom.xml><?xml version="1.0" encoding="utf-8"?>
<Properties xmlns="http://schemas.openxmlformats.org/officeDocument/2006/custom-properties" xmlns:vt="http://schemas.openxmlformats.org/officeDocument/2006/docPropsVTypes"/>
</file>