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Energoresursu cenu ārkārtēja pieauguma samazinājuma pasākumu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kases e-pakalpojumu ePārskati sistēmā attiecīgajā atskaitē būs nepieciešams izdalīt atsevišķi sniegto atbalstu šķidrinātās gan  naftas, gan dīzeļdegvielas izmantošanai, lūdzam savlaicīgi papildināt  lietojumprogrammu SOPA  ar iespēju pie iesnieguma ievades attiecīgi nodalīt sniedzamā atbalsta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piekto daļu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informāciju par dokumentu veidiem, kas jāiesniedz kā apliecinājums par 7.1 panta 4.1 un 4.2 daļā noteiktajam atbalstam iegādāto kurināmo (sašķidrināto naftas gāzi un dīzeļdegvielu).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3) un 4) apakšsadaļās ir atrunāti tikai šādi kurināmā veidi: koksnes granulas, koksnes briketes, malka un elektroenerģija.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05.12.2022.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05.12.2022.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Atzinumi_22-TA-3198.docx</dc:title>
</cp:coreProperties>
</file>

<file path=docProps/custom.xml><?xml version="1.0" encoding="utf-8"?>
<Properties xmlns="http://schemas.openxmlformats.org/officeDocument/2006/custom-properties" xmlns:vt="http://schemas.openxmlformats.org/officeDocument/2006/docPropsVTypes"/>
</file>